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color w:val="000000"/>
          <w:kern w:val="2"/>
          <w:sz w:val="32"/>
          <w:szCs w:val="32"/>
          <w:u w:val="none"/>
          <w:lang w:val="en-US" w:eastAsia="zh-CN" w:bidi="ar"/>
        </w:rPr>
      </w:pPr>
      <w:r>
        <w:rPr>
          <w:rFonts w:hint="eastAsia" w:ascii="方正小标宋简体" w:hAnsi="方正小标宋简体" w:eastAsia="方正小标宋简体" w:cs="方正小标宋简体"/>
          <w:color w:val="000000"/>
          <w:kern w:val="2"/>
          <w:sz w:val="32"/>
          <w:szCs w:val="32"/>
          <w:u w:val="none"/>
          <w:lang w:val="en-US" w:eastAsia="zh-CN" w:bidi="ar"/>
        </w:rPr>
        <w:t xml:space="preserve">附件2                </w:t>
      </w:r>
      <w:bookmarkStart w:id="0" w:name="_GoBack"/>
      <w:bookmarkEnd w:id="0"/>
      <w:r>
        <w:rPr>
          <w:rFonts w:hint="eastAsia" w:ascii="方正小标宋简体" w:hAnsi="方正小标宋简体" w:eastAsia="方正小标宋简体" w:cs="方正小标宋简体"/>
          <w:color w:val="000000"/>
          <w:kern w:val="2"/>
          <w:sz w:val="32"/>
          <w:szCs w:val="32"/>
          <w:u w:val="none"/>
          <w:lang w:val="en-US" w:eastAsia="zh-CN" w:bidi="ar"/>
        </w:rPr>
        <w:t>三门峡市管民办学校办学情况检查评分细则（    年度）</w:t>
      </w:r>
    </w:p>
    <w:p>
      <w:pPr>
        <w:keepNext w:val="0"/>
        <w:keepLines w:val="0"/>
        <w:widowControl w:val="0"/>
        <w:suppressLineNumbers w:val="0"/>
        <w:spacing w:before="0" w:beforeAutospacing="0" w:after="0" w:afterAutospacing="0"/>
        <w:ind w:left="0" w:right="0"/>
        <w:jc w:val="both"/>
        <w:rPr>
          <w:rFonts w:hint="default" w:ascii="仿宋_GB2312" w:hAnsi="仿宋" w:eastAsia="仿宋_GB2312" w:cs="仿宋_GB2312"/>
          <w:color w:val="000000"/>
          <w:kern w:val="2"/>
          <w:sz w:val="32"/>
          <w:szCs w:val="32"/>
          <w:u w:val="none"/>
          <w:lang w:val="en-US" w:eastAsia="zh-CN" w:bidi="ar"/>
        </w:rPr>
      </w:pPr>
      <w:r>
        <w:rPr>
          <w:rFonts w:hint="default" w:ascii="仿宋_GB2312" w:hAnsi="仿宋" w:eastAsia="仿宋_GB2312" w:cs="仿宋_GB2312"/>
          <w:color w:val="000000"/>
          <w:kern w:val="2"/>
          <w:sz w:val="24"/>
          <w:szCs w:val="24"/>
          <w:u w:val="none"/>
          <w:lang w:val="en-US" w:eastAsia="zh-CN" w:bidi="ar"/>
        </w:rPr>
        <w:t>被检查学校</w:t>
      </w:r>
      <w:r>
        <w:rPr>
          <w:rFonts w:hint="eastAsia" w:ascii="仿宋_GB2312" w:eastAsia="仿宋_GB2312" w:cs="仿宋_GB2312"/>
          <w:color w:val="000000"/>
          <w:kern w:val="2"/>
          <w:sz w:val="24"/>
          <w:szCs w:val="24"/>
          <w:u w:val="none"/>
          <w:lang w:val="en-US" w:eastAsia="zh-CN" w:bidi="ar"/>
        </w:rPr>
        <w:t>（盖章）：                                                                    总分：</w:t>
      </w:r>
    </w:p>
    <w:tbl>
      <w:tblPr>
        <w:tblStyle w:val="4"/>
        <w:tblW w:w="158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2"/>
        <w:gridCol w:w="23"/>
        <w:gridCol w:w="788"/>
        <w:gridCol w:w="22"/>
        <w:gridCol w:w="9023"/>
        <w:gridCol w:w="7"/>
        <w:gridCol w:w="4076"/>
        <w:gridCol w:w="19"/>
        <w:gridCol w:w="630"/>
        <w:gridCol w:w="1"/>
        <w:gridCol w:w="611"/>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8" w:type="dxa"/>
          <w:trHeight w:val="466" w:hRule="atLeast"/>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项 目</w:t>
            </w:r>
          </w:p>
        </w:tc>
        <w:tc>
          <w:tcPr>
            <w:tcW w:w="90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内                  容</w:t>
            </w:r>
          </w:p>
        </w:tc>
        <w:tc>
          <w:tcPr>
            <w:tcW w:w="40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重点关注</w:t>
            </w:r>
          </w:p>
        </w:tc>
        <w:tc>
          <w:tcPr>
            <w:tcW w:w="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分值</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516" w:hRule="atLeast"/>
        </w:trPr>
        <w:tc>
          <w:tcPr>
            <w:tcW w:w="62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基础项目</w:t>
            </w:r>
          </w:p>
        </w:tc>
        <w:tc>
          <w:tcPr>
            <w:tcW w:w="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党的建设</w:t>
            </w:r>
          </w:p>
        </w:tc>
        <w:tc>
          <w:tcPr>
            <w:tcW w:w="90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全面贯彻党的教育方针，坚持社会主义办学方向，在校园醒目处以悬挂、张贴等方式宣传党的教育方针（2分）。2.有3名以上正式党员，按规定建立党组织，按期换届，体制清晰、体系健全。党员人数不足3名或者暂不具备建立党组织条件的，依规开展党的工作（2分）。3.按照规定开展学习贯彻习近平新时代中国特色社会主义思想主题教育（2分）。4.按照规定将党组织建设情况、主要职责等党建内容写入章程（2分）。5.落实“双向进入、交叉任职”，党组织书记按规定进入决策机构，党组织参与决策监督，对学校重大事项进行政治把关（2分）。6.按规定发展党员，开展党员教育管理服务，做好党组织活动经费和党费管理，及时做好党员组织关系接转（1分）。7.制定德育工作方案，建立德育工作机制，按规定开足思想政治等相关课程（1分）。8.课程内容及教材使用或选用符合相关要求（1分）。9.开展心理健康教育活动，按规定配备心理健康教育教师（1分）。10.按规定建立共青团等组织，开展相应活动，加强校园文化建设（1分）。11.按规定开展市委巡察整改相关工作（1分）。</w:t>
            </w:r>
          </w:p>
        </w:tc>
        <w:tc>
          <w:tcPr>
            <w:tcW w:w="40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1.党组织负责人未按规定进入决策机构，党建相关内容未纳入学校章程。</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2.决策机构在做出关于发展规划、重要改革、人事安排和师生员工切身利益等重大事项决策时，未征求党组织同意。</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3.未按规定开足思政课。</w:t>
            </w:r>
          </w:p>
        </w:tc>
        <w:tc>
          <w:tcPr>
            <w:tcW w:w="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16</w:t>
            </w:r>
          </w:p>
        </w:tc>
        <w:tc>
          <w:tcPr>
            <w:tcW w:w="6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240" w:lineRule="exact"/>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516" w:hRule="atLeast"/>
        </w:trPr>
        <w:tc>
          <w:tcPr>
            <w:tcW w:w="62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办学条件</w:t>
            </w:r>
          </w:p>
        </w:tc>
        <w:tc>
          <w:tcPr>
            <w:tcW w:w="90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举办者出资方式符合法定要求，未存在非法集资举办、国有资产流失（2分）。2.教师配备与办学规模相适应，从教人员需具备相应资质、符合相关要求，不得聘用不合适从事教育工作或者存在教育领域不良从业记录的人员，聘用外籍人员需符合相关要求（2分）。3.学校选址、校舍建筑、抗震防火、室内空气、建筑面积等符合相关标准和规范（2分）。4.学校规模符合相关规定，未存在大校额、大班额（2分）。5.各类设施设备能够满足正常教育教学及生活需要并符合国家体育卫生等相关要求（2分）。6.物防、技防建设、教学仪器设备、危险物品存储和使用符合相关要求（2分）。7.办学地址符合相关要求，未在未经核准的场地擅自办学，未擅自设立分支机构（</w:t>
            </w:r>
            <w:r>
              <w:rPr>
                <w:rFonts w:hint="eastAsia" w:cs="仿宋"/>
                <w:color w:val="000000"/>
                <w:kern w:val="2"/>
                <w:sz w:val="21"/>
                <w:szCs w:val="21"/>
                <w:lang w:val="en-US" w:eastAsia="zh-CN" w:bidi="ar"/>
              </w:rPr>
              <w:t>3</w:t>
            </w:r>
            <w:r>
              <w:rPr>
                <w:rFonts w:hint="eastAsia" w:ascii="仿宋" w:hAnsi="仿宋" w:eastAsia="仿宋" w:cs="仿宋"/>
                <w:color w:val="000000"/>
                <w:kern w:val="2"/>
                <w:sz w:val="21"/>
                <w:szCs w:val="21"/>
                <w:lang w:val="en-US" w:eastAsia="zh-CN" w:bidi="ar"/>
              </w:rPr>
              <w:t>分）。8.按照办学要求，电子公文传输系统正常使用（</w:t>
            </w:r>
            <w:r>
              <w:rPr>
                <w:rFonts w:hint="eastAsia" w:cs="仿宋"/>
                <w:color w:val="000000"/>
                <w:kern w:val="2"/>
                <w:sz w:val="21"/>
                <w:szCs w:val="21"/>
                <w:lang w:val="en-US" w:eastAsia="zh-CN" w:bidi="ar"/>
              </w:rPr>
              <w:t>1</w:t>
            </w:r>
            <w:r>
              <w:rPr>
                <w:rFonts w:hint="eastAsia" w:ascii="仿宋" w:hAnsi="仿宋" w:eastAsia="仿宋" w:cs="仿宋"/>
                <w:color w:val="000000"/>
                <w:kern w:val="2"/>
                <w:sz w:val="21"/>
                <w:szCs w:val="21"/>
                <w:lang w:val="en-US" w:eastAsia="zh-CN" w:bidi="ar"/>
              </w:rPr>
              <w:t>分）。</w:t>
            </w:r>
          </w:p>
        </w:tc>
        <w:tc>
          <w:tcPr>
            <w:tcW w:w="40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1.未经审批，擅自变更学校举办者或擅自通过股权转让等方式变更学校实际控制人。</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2.举办者的经济纠纷、涉诉事项对学校办学造成风险隐患，或举办者在教育领域有不良从业记录现象。</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3.举办者虚假出资、抽逃出资或出资未及时过户，造成严重后果。</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4.办学条件严重不达标。</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5.举办人不依法依规办学，产生严重不良影响。</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6.学校未经许可，在审批机关核准的办学地点以外的场所办学，或对外出租校舍，影响学校安全稳定和教育教学秩序。</w:t>
            </w:r>
          </w:p>
        </w:tc>
        <w:tc>
          <w:tcPr>
            <w:tcW w:w="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16</w:t>
            </w:r>
          </w:p>
        </w:tc>
        <w:tc>
          <w:tcPr>
            <w:tcW w:w="6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240" w:lineRule="exact"/>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26" w:hRule="atLeast"/>
        </w:trPr>
        <w:tc>
          <w:tcPr>
            <w:tcW w:w="62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依法治校</w:t>
            </w:r>
          </w:p>
        </w:tc>
        <w:tc>
          <w:tcPr>
            <w:tcW w:w="90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1.学校办学许可证、法人登记证、消防验收合格意见书、收费许可证、食品卫生许可证等证件需在有限期内（2分）。2.各类证件登记内容与办学实际相符，</w:t>
            </w:r>
            <w:r>
              <w:rPr>
                <w:rFonts w:hint="eastAsia" w:ascii="仿宋" w:hAnsi="仿宋" w:eastAsia="仿宋" w:cs="仿宋"/>
                <w:color w:val="000000"/>
                <w:kern w:val="0"/>
                <w:sz w:val="21"/>
                <w:szCs w:val="21"/>
                <w:lang w:val="en-US" w:eastAsia="zh-CN" w:bidi="ar"/>
              </w:rPr>
              <w:t>按照核定的学校名称、办学地点、办学类型、办学层次组织开展教育教学活动</w:t>
            </w:r>
            <w:r>
              <w:rPr>
                <w:rFonts w:hint="eastAsia" w:ascii="仿宋" w:hAnsi="仿宋" w:eastAsia="仿宋" w:cs="仿宋"/>
                <w:color w:val="000000"/>
                <w:kern w:val="2"/>
                <w:sz w:val="21"/>
                <w:szCs w:val="21"/>
                <w:lang w:val="en-US" w:eastAsia="zh-CN" w:bidi="ar"/>
              </w:rPr>
              <w:t>（2分）。3.学校章程内容规范完备，规章制度与章程内容一致（2分）。4.学校举办者（实际控制人）符合相关资质，变更报批及时、符合程序，不得擅自变更（2分）。5.学校校长具备任职资质和条件，学校法定代表人需由学校决策机构负责人或校长担任，履职情况符合相关规定（2分）。6.决策机构人员构成符合相关要求并依法履职，决策机构变更需及时进行备案并做好公示公开（2分）。7.设立监督机构，并依法发挥作用（1分）。8.加强工会、共青团等群团组织建设，建立家长委员会制度（1分）。9.办学行为规范，符合有关规定，未受到相关部门惩处（2分）。</w:t>
            </w:r>
            <w:r>
              <w:rPr>
                <w:rFonts w:hint="eastAsia" w:ascii="仿宋" w:hAnsi="仿宋" w:eastAsia="仿宋" w:cs="仿宋"/>
                <w:color w:val="000000"/>
                <w:kern w:val="0"/>
                <w:sz w:val="21"/>
                <w:szCs w:val="21"/>
                <w:lang w:val="en-US" w:eastAsia="zh-CN" w:bidi="ar"/>
              </w:rPr>
              <w:t xml:space="preserve">    </w:t>
            </w:r>
          </w:p>
        </w:tc>
        <w:tc>
          <w:tcPr>
            <w:tcW w:w="40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1.决策机构不依法履职，对学校稳定、规范办学造成重大不利影响。</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2.未设监督机构或监督机构</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未依法履职，造成无法行使监</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督职权。</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3.校长不能依法履职，造成管理混乱严重影响教育教学、产生恶劣社会影响。</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p>
        </w:tc>
        <w:tc>
          <w:tcPr>
            <w:tcW w:w="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16</w:t>
            </w:r>
          </w:p>
        </w:tc>
        <w:tc>
          <w:tcPr>
            <w:tcW w:w="6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240" w:lineRule="exact"/>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4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基础项目</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kern w:val="2"/>
                <w:sz w:val="21"/>
                <w:szCs w:val="21"/>
              </w:rPr>
            </w:pPr>
            <w:r>
              <w:rPr>
                <w:rFonts w:hint="eastAsia" w:ascii="仿宋" w:hAnsi="仿宋" w:eastAsia="仿宋" w:cs="仿宋"/>
                <w:b/>
                <w:bCs/>
                <w:color w:val="000000"/>
                <w:kern w:val="2"/>
                <w:sz w:val="21"/>
                <w:szCs w:val="21"/>
                <w:lang w:val="en-US" w:eastAsia="zh-CN" w:bidi="ar"/>
              </w:rPr>
              <w:t>财务资产管理</w:t>
            </w:r>
          </w:p>
        </w:tc>
        <w:tc>
          <w:tcPr>
            <w:tcW w:w="9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学校财务会计制度、资产管理制度、内控制度健全，财会人员配备符合要求，会计资料真实完整（2分）。2.按照规定进行审计并出具审计报告（2分）。3.各项收费严格执行相关规定，收费使用法定票据，收费周期符合有关规定（2分）。4.落实收费公示制度，收费项目、收费标准、退费标准、学费减免补助标准等应在显著位置向社会进行公示（3分）。5.非营利性民办学校收取费用、开展活动的资金往来，使用在主管部门备案的账户、营利性民办学校收入应当全部纳入学校开设的银行结算账户（2分）。6.非营利性民办学校未分配或变相分配办学结余，营利性民办学校分配办学结余符合规定，举办者不得抽逃、侵占办学资金，收取的费用不得用于与教育教学无关的经营活动，要按规定提取发展基金（3分）。7.学校资产负债率不高于</w:t>
            </w:r>
            <w:r>
              <w:rPr>
                <w:rFonts w:hint="eastAsia" w:cs="仿宋"/>
                <w:color w:val="000000"/>
                <w:kern w:val="2"/>
                <w:sz w:val="21"/>
                <w:szCs w:val="21"/>
                <w:lang w:val="en-US" w:eastAsia="zh-CN" w:bidi="ar"/>
              </w:rPr>
              <w:t>3</w:t>
            </w:r>
            <w:r>
              <w:rPr>
                <w:rFonts w:hint="eastAsia" w:ascii="仿宋" w:hAnsi="仿宋" w:eastAsia="仿宋" w:cs="仿宋"/>
                <w:color w:val="000000"/>
                <w:kern w:val="2"/>
                <w:sz w:val="21"/>
                <w:szCs w:val="21"/>
                <w:lang w:val="en-US" w:eastAsia="zh-CN" w:bidi="ar"/>
              </w:rPr>
              <w:t>0%，有国有资产的学校需严格执行有关规定（2分）。8.不断加大办学投入、改善办学条件，效果明显，有完备的经费投入台账（2分）。</w:t>
            </w:r>
          </w:p>
        </w:tc>
        <w:tc>
          <w:tcPr>
            <w:tcW w:w="4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1.违反法律法规增加收费项目、提高收费标准，学费等收入未按规定存入学校账户，或存在非法集资行为。</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2.举办者直接或间接侵占、挪用学校法人财产，或学校违规对外投资、对外提供担保抵押，对学校正常办学构成重大影响。</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18</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240" w:lineRule="exact"/>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4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办学行为</w:t>
            </w:r>
          </w:p>
        </w:tc>
        <w:tc>
          <w:tcPr>
            <w:tcW w:w="9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建立师德师风监督管理及奖惩制度，未发生体罚等侮辱行为或猥亵、性骚扰等，教师教育教学行为符合职业道德规范（2分）。2.招生入学符合相关规定，严格执行各项招生纪律要求和年度招生计划，学籍管理符合相关规定，及时准确上报年度教育事业统计（3分）。3.学校课程设置和实施符合国家标准，选用教材符合相关要求，教学开展符合教育规律，组织教育教学时间安排符合国家规定（2分）。4.安全管理制度及突发事件应急处置机制健全，按规定落实安全管理责任，未发生一般责任事故（3分）。5.安全管理组织机构设备完善，责任人和专职人员配置符合相关要求（2分）。6.完成“双重预防”体系建设，并把建设成果应用到日常检查中。定期开展安全教育、安全培训及应急疏散演练，具有相关台账（2分）。7.学校消防、校车、食品、卫生、实验室危化品、传染病防控等符合有关规定，三保、司机、校医等人员具备健康证、从业资格证等证件（3分）。8.注重教育教学质量，办学特色明显，因材施教，教育教学效果显著（3分）。</w:t>
            </w:r>
          </w:p>
        </w:tc>
        <w:tc>
          <w:tcPr>
            <w:tcW w:w="4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1.办学许可证有效期届满或许可证信息发生变化，未及时申请换证。</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2.伪造、变造、买卖、出租、出借办学许可证造成严重影响，或提交虚假证明文件、采取其他欺诈手段隐瞒重要事实骗取办学许可证。</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3.安全管理制度不健全，教育教学设置未达到标准，造成重大事故或影响。</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4.发生重大信访或舆情事件，造成不利影响。</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5.学校发布虚假招生信息（含广告和简章）或提前圈生源、超计划录取、提前收费、骗取钱财等，造成严重社会影响。</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6.中职学校违规组织学生实习，造成严重影响。</w:t>
            </w:r>
          </w:p>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7.出现严重违反师德师风行为，造成严重影响或受到司法、行政机关处理的。</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20</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240" w:lineRule="exact"/>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64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ascii="仿宋" w:hAnsi="仿宋" w:eastAsia="仿宋" w:cs="仿宋"/>
                <w:b/>
                <w:bCs/>
                <w:color w:val="000000"/>
                <w:kern w:val="2"/>
                <w:sz w:val="21"/>
                <w:szCs w:val="21"/>
                <w:lang w:val="en-US" w:eastAsia="zh-CN" w:bidi="ar"/>
              </w:rPr>
              <w:t>师生权益</w:t>
            </w:r>
          </w:p>
        </w:tc>
        <w:tc>
          <w:tcPr>
            <w:tcW w:w="9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1.教职工聘用、解聘程序合法合规，合同等相关手续齐全，学生学籍管理规范，主动接受相关业务主管部门的监督指导（2分）。2.按时发放教职工工资，确保福利待遇，依法足额缴纳</w:t>
            </w:r>
            <w:r>
              <w:rPr>
                <w:rFonts w:hint="eastAsia" w:cs="仿宋"/>
                <w:color w:val="000000"/>
                <w:kern w:val="2"/>
                <w:sz w:val="21"/>
                <w:szCs w:val="21"/>
                <w:lang w:val="en-US" w:eastAsia="zh-CN" w:bidi="ar"/>
              </w:rPr>
              <w:t>“五险一金”</w:t>
            </w:r>
            <w:r>
              <w:rPr>
                <w:rFonts w:hint="eastAsia" w:ascii="仿宋" w:hAnsi="仿宋" w:eastAsia="仿宋" w:cs="仿宋"/>
                <w:color w:val="000000"/>
                <w:kern w:val="2"/>
                <w:sz w:val="21"/>
                <w:szCs w:val="21"/>
                <w:lang w:val="en-US" w:eastAsia="zh-CN" w:bidi="ar"/>
              </w:rPr>
              <w:t>，并从学费收入中提取一定比例，用于教职工职业激励或者增加待遇保障（3分）。3.在学费收入中安排一定比例资金用于开展业务培训加强教师专业发展与岗位胜任能力培训（2分）。4.办学信誉良好，有退学退费管理办法，及时合规处理退学退费问题，无负面舆情，无上访、重访、集访问题发生（3分）。5.建立学生欺凌防治、防电信诈骗方面的宣传培训、制度管理、调查处置等相关机制（2分）。6.按规定安排学生奖励、资助经费（2分）。</w:t>
            </w:r>
          </w:p>
        </w:tc>
        <w:tc>
          <w:tcPr>
            <w:tcW w:w="4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left"/>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拖欠教职工工资或不按规定缴纳社会保险费和住房公积金。</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14</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240" w:lineRule="exact"/>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仿宋" w:hAnsi="仿宋" w:eastAsia="仿宋" w:cs="仿宋"/>
                <w:b/>
                <w:bCs/>
                <w:kern w:val="2"/>
                <w:sz w:val="21"/>
                <w:szCs w:val="21"/>
              </w:rPr>
            </w:pPr>
            <w:r>
              <w:rPr>
                <w:rFonts w:hint="eastAsia" w:cs="仿宋"/>
                <w:b/>
                <w:bCs/>
                <w:color w:val="000000"/>
                <w:kern w:val="2"/>
                <w:sz w:val="21"/>
                <w:szCs w:val="21"/>
                <w:lang w:val="en-US" w:eastAsia="zh-CN" w:bidi="ar"/>
              </w:rPr>
              <w:t>其他项目</w:t>
            </w:r>
          </w:p>
        </w:tc>
        <w:tc>
          <w:tcPr>
            <w:tcW w:w="1519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both"/>
              <w:rPr>
                <w:rFonts w:hint="eastAsia" w:ascii="仿宋" w:hAnsi="仿宋" w:eastAsia="仿宋" w:cs="仿宋"/>
                <w:kern w:val="2"/>
                <w:sz w:val="21"/>
                <w:szCs w:val="21"/>
              </w:rPr>
            </w:pPr>
            <w:r>
              <w:rPr>
                <w:rFonts w:hint="eastAsia" w:ascii="仿宋" w:hAnsi="仿宋" w:eastAsia="仿宋" w:cs="仿宋"/>
                <w:color w:val="000000"/>
                <w:kern w:val="2"/>
                <w:sz w:val="21"/>
                <w:szCs w:val="21"/>
                <w:lang w:val="en-US" w:eastAsia="zh-CN" w:bidi="ar"/>
              </w:rPr>
              <w:t>1.信访</w:t>
            </w:r>
            <w:r>
              <w:rPr>
                <w:rFonts w:hint="eastAsia" w:cs="仿宋"/>
                <w:color w:val="000000"/>
                <w:kern w:val="2"/>
                <w:sz w:val="21"/>
                <w:szCs w:val="21"/>
                <w:lang w:val="en-US" w:eastAsia="zh-CN" w:bidi="ar"/>
              </w:rPr>
              <w:t>舆情及其他负面反馈</w:t>
            </w:r>
            <w:r>
              <w:rPr>
                <w:rFonts w:hint="eastAsia" w:ascii="仿宋" w:hAnsi="仿宋" w:eastAsia="仿宋" w:cs="仿宋"/>
                <w:color w:val="000000"/>
                <w:kern w:val="2"/>
                <w:sz w:val="21"/>
                <w:szCs w:val="21"/>
                <w:lang w:val="en-US" w:eastAsia="zh-CN" w:bidi="ar"/>
              </w:rPr>
              <w:t>（</w:t>
            </w:r>
            <w:r>
              <w:rPr>
                <w:rFonts w:hint="eastAsia" w:cs="仿宋"/>
                <w:color w:val="000000"/>
                <w:kern w:val="2"/>
                <w:sz w:val="21"/>
                <w:szCs w:val="21"/>
                <w:lang w:val="en-US" w:eastAsia="zh-CN" w:bidi="ar"/>
              </w:rPr>
              <w:t>问题较多的，-</w:t>
            </w:r>
            <w:r>
              <w:rPr>
                <w:rFonts w:hint="eastAsia" w:ascii="仿宋" w:hAnsi="仿宋" w:eastAsia="仿宋" w:cs="仿宋"/>
                <w:color w:val="000000"/>
                <w:kern w:val="2"/>
                <w:sz w:val="21"/>
                <w:szCs w:val="21"/>
                <w:lang w:val="en-US" w:eastAsia="zh-CN" w:bidi="ar"/>
              </w:rPr>
              <w:t>10分</w:t>
            </w:r>
            <w:r>
              <w:rPr>
                <w:rFonts w:hint="eastAsia" w:cs="仿宋"/>
                <w:color w:val="000000"/>
                <w:kern w:val="2"/>
                <w:sz w:val="21"/>
                <w:szCs w:val="21"/>
                <w:lang w:val="en-US" w:eastAsia="zh-CN" w:bidi="ar"/>
              </w:rPr>
              <w:t>内酌情赋分</w:t>
            </w:r>
            <w:r>
              <w:rPr>
                <w:rFonts w:hint="eastAsia" w:ascii="仿宋" w:hAnsi="仿宋" w:eastAsia="仿宋" w:cs="仿宋"/>
                <w:color w:val="000000"/>
                <w:kern w:val="2"/>
                <w:sz w:val="21"/>
                <w:szCs w:val="21"/>
                <w:lang w:val="en-US" w:eastAsia="zh-CN" w:bidi="ar"/>
              </w:rPr>
              <w:t>）。2.</w:t>
            </w:r>
            <w:r>
              <w:rPr>
                <w:rFonts w:hint="eastAsia" w:cs="仿宋"/>
                <w:color w:val="000000"/>
                <w:kern w:val="2"/>
                <w:sz w:val="21"/>
                <w:szCs w:val="21"/>
                <w:lang w:val="en-US" w:eastAsia="zh-CN" w:bidi="ar"/>
              </w:rPr>
              <w:t>学校</w:t>
            </w:r>
            <w:r>
              <w:rPr>
                <w:rFonts w:hint="eastAsia" w:ascii="仿宋" w:hAnsi="仿宋" w:eastAsia="仿宋" w:cs="仿宋"/>
                <w:color w:val="000000"/>
                <w:kern w:val="2"/>
                <w:sz w:val="21"/>
                <w:szCs w:val="21"/>
                <w:lang w:val="en-US" w:eastAsia="zh-CN" w:bidi="ar"/>
              </w:rPr>
              <w:t>日常表现（</w:t>
            </w:r>
            <w:r>
              <w:rPr>
                <w:rFonts w:hint="eastAsia" w:cs="仿宋"/>
                <w:color w:val="000000"/>
                <w:kern w:val="2"/>
                <w:sz w:val="21"/>
                <w:szCs w:val="21"/>
                <w:lang w:val="en-US" w:eastAsia="zh-CN" w:bidi="ar"/>
              </w:rPr>
              <w:t>结合校长述职、日常工作情况等，±10</w:t>
            </w:r>
            <w:r>
              <w:rPr>
                <w:rFonts w:hint="eastAsia" w:ascii="仿宋" w:hAnsi="仿宋" w:eastAsia="仿宋" w:cs="仿宋"/>
                <w:color w:val="000000"/>
                <w:kern w:val="2"/>
                <w:sz w:val="21"/>
                <w:szCs w:val="21"/>
                <w:lang w:val="en-US" w:eastAsia="zh-CN" w:bidi="ar"/>
              </w:rPr>
              <w:t>分</w:t>
            </w:r>
            <w:r>
              <w:rPr>
                <w:rFonts w:hint="eastAsia" w:cs="仿宋"/>
                <w:color w:val="000000"/>
                <w:kern w:val="2"/>
                <w:sz w:val="21"/>
                <w:szCs w:val="21"/>
                <w:lang w:val="en-US" w:eastAsia="zh-CN" w:bidi="ar"/>
              </w:rPr>
              <w:t>内</w:t>
            </w:r>
            <w:r>
              <w:rPr>
                <w:rFonts w:hint="eastAsia" w:ascii="仿宋" w:hAnsi="仿宋" w:eastAsia="仿宋" w:cs="仿宋"/>
                <w:color w:val="000000"/>
                <w:kern w:val="2"/>
                <w:sz w:val="21"/>
                <w:szCs w:val="21"/>
                <w:lang w:val="en-US" w:eastAsia="zh-CN" w:bidi="ar"/>
              </w:rPr>
              <w:t>酌情</w:t>
            </w:r>
            <w:r>
              <w:rPr>
                <w:rFonts w:hint="eastAsia" w:cs="仿宋"/>
                <w:color w:val="000000"/>
                <w:kern w:val="2"/>
                <w:sz w:val="21"/>
                <w:szCs w:val="21"/>
                <w:lang w:val="en-US" w:eastAsia="zh-CN" w:bidi="ar"/>
              </w:rPr>
              <w:t>赋分</w:t>
            </w:r>
            <w:r>
              <w:rPr>
                <w:rFonts w:hint="eastAsia" w:ascii="仿宋" w:hAnsi="仿宋" w:eastAsia="仿宋" w:cs="仿宋"/>
                <w:color w:val="000000"/>
                <w:kern w:val="2"/>
                <w:sz w:val="21"/>
                <w:szCs w:val="21"/>
                <w:lang w:val="en-US" w:eastAsia="zh-CN" w:bidi="ar"/>
              </w:rPr>
              <w:t>，）。</w:t>
            </w:r>
          </w:p>
        </w:tc>
      </w:tr>
    </w:tbl>
    <w:p>
      <w:pPr>
        <w:rPr>
          <w:rFonts w:hint="eastAsia"/>
          <w:sz w:val="24"/>
          <w:szCs w:val="24"/>
          <w:lang w:val="en-US" w:eastAsia="zh-CN"/>
        </w:rPr>
      </w:pPr>
      <w:r>
        <w:rPr>
          <w:rFonts w:hint="eastAsia"/>
          <w:sz w:val="24"/>
          <w:szCs w:val="24"/>
        </w:rPr>
        <w:t>检查组别、检查人（签字）：</w:t>
      </w:r>
      <w:r>
        <w:rPr>
          <w:rFonts w:hint="eastAsia"/>
          <w:sz w:val="24"/>
          <w:szCs w:val="24"/>
          <w:lang w:val="en-US" w:eastAsia="zh-CN"/>
        </w:rPr>
        <w:t xml:space="preserve">                                                               </w:t>
      </w:r>
      <w:r>
        <w:rPr>
          <w:rFonts w:hint="eastAsia"/>
          <w:sz w:val="24"/>
          <w:szCs w:val="24"/>
        </w:rPr>
        <w:t>检查</w:t>
      </w:r>
      <w:r>
        <w:rPr>
          <w:rFonts w:hint="eastAsia"/>
          <w:sz w:val="24"/>
          <w:szCs w:val="24"/>
          <w:lang w:val="en-US" w:eastAsia="zh-CN"/>
        </w:rPr>
        <w:t>日期：</w:t>
      </w:r>
    </w:p>
    <w:p>
      <w:pPr>
        <w:rPr>
          <w:rFonts w:hint="eastAsia"/>
          <w:sz w:val="24"/>
          <w:szCs w:val="24"/>
          <w:lang w:val="en-US" w:eastAsia="zh-CN"/>
        </w:rPr>
      </w:pPr>
    </w:p>
    <w:p>
      <w:pPr>
        <w:autoSpaceDN w:val="0"/>
        <w:spacing w:line="580" w:lineRule="exact"/>
        <w:jc w:val="center"/>
        <w:rPr>
          <w:rFonts w:hint="eastAsia" w:ascii="黑体" w:hAnsi="黑体" w:eastAsia="黑体" w:cs="黑体"/>
          <w:color w:val="auto"/>
          <w:sz w:val="44"/>
          <w:szCs w:val="44"/>
        </w:rPr>
      </w:pPr>
    </w:p>
    <w:p>
      <w:pPr>
        <w:autoSpaceDN w:val="0"/>
        <w:spacing w:line="580" w:lineRule="exact"/>
        <w:jc w:val="center"/>
        <w:rPr>
          <w:rFonts w:hint="eastAsia" w:ascii="黑体" w:hAnsi="黑体" w:eastAsia="黑体" w:cs="黑体"/>
          <w:color w:val="auto"/>
          <w:sz w:val="48"/>
          <w:szCs w:val="48"/>
          <w:lang w:eastAsia="zh-CN"/>
        </w:rPr>
      </w:pPr>
    </w:p>
    <w:p>
      <w:pPr>
        <w:autoSpaceDN w:val="0"/>
        <w:spacing w:line="580" w:lineRule="exact"/>
        <w:jc w:val="center"/>
        <w:rPr>
          <w:rFonts w:hint="eastAsia" w:ascii="黑体" w:hAnsi="黑体" w:eastAsia="黑体" w:cs="黑体"/>
          <w:color w:val="auto"/>
          <w:sz w:val="48"/>
          <w:szCs w:val="48"/>
          <w:lang w:eastAsia="zh-CN"/>
        </w:rPr>
      </w:pPr>
    </w:p>
    <w:p>
      <w:pPr>
        <w:autoSpaceDN w:val="0"/>
        <w:spacing w:line="580" w:lineRule="exact"/>
        <w:jc w:val="center"/>
        <w:rPr>
          <w:rFonts w:hint="eastAsia" w:ascii="仿宋_GB2312" w:hAnsi="仿宋_GB2312" w:eastAsia="仿宋_GB2312" w:cs="仿宋_GB2312"/>
          <w:color w:val="auto"/>
          <w:sz w:val="48"/>
          <w:szCs w:val="48"/>
        </w:rPr>
      </w:pPr>
      <w:r>
        <w:rPr>
          <w:rFonts w:hint="eastAsia" w:ascii="黑体" w:hAnsi="黑体" w:eastAsia="黑体" w:cs="黑体"/>
          <w:color w:val="auto"/>
          <w:sz w:val="48"/>
          <w:szCs w:val="48"/>
          <w:lang w:eastAsia="zh-CN"/>
        </w:rPr>
        <w:t>三门峡</w:t>
      </w:r>
      <w:r>
        <w:rPr>
          <w:rFonts w:hint="eastAsia" w:ascii="黑体" w:hAnsi="黑体" w:eastAsia="黑体" w:cs="黑体"/>
          <w:color w:val="auto"/>
          <w:sz w:val="48"/>
          <w:szCs w:val="48"/>
        </w:rPr>
        <w:t>市民办</w:t>
      </w:r>
      <w:r>
        <w:rPr>
          <w:rFonts w:hint="eastAsia" w:ascii="黑体" w:hAnsi="黑体" w:eastAsia="黑体" w:cs="黑体"/>
          <w:color w:val="auto"/>
          <w:sz w:val="48"/>
          <w:szCs w:val="48"/>
          <w:lang w:eastAsia="zh-CN"/>
        </w:rPr>
        <w:t>学校年检</w:t>
      </w:r>
      <w:r>
        <w:rPr>
          <w:rFonts w:hint="eastAsia" w:ascii="黑体" w:hAnsi="黑体" w:eastAsia="黑体" w:cs="黑体"/>
          <w:color w:val="auto"/>
          <w:sz w:val="48"/>
          <w:szCs w:val="48"/>
          <w:lang w:val="en-US" w:eastAsia="zh-CN"/>
        </w:rPr>
        <w:t>抽查</w:t>
      </w:r>
      <w:r>
        <w:rPr>
          <w:rFonts w:hint="eastAsia" w:ascii="黑体" w:hAnsi="黑体" w:eastAsia="黑体" w:cs="黑体"/>
          <w:color w:val="auto"/>
          <w:sz w:val="48"/>
          <w:szCs w:val="48"/>
          <w:lang w:eastAsia="zh-CN"/>
        </w:rPr>
        <w:t>评分</w:t>
      </w:r>
      <w:r>
        <w:rPr>
          <w:rFonts w:hint="eastAsia" w:ascii="黑体" w:hAnsi="黑体" w:eastAsia="黑体" w:cs="黑体"/>
          <w:color w:val="auto"/>
          <w:sz w:val="48"/>
          <w:szCs w:val="48"/>
        </w:rPr>
        <w:t>细则</w:t>
      </w:r>
    </w:p>
    <w:p>
      <w:pPr>
        <w:autoSpaceDN w:val="0"/>
        <w:spacing w:line="580" w:lineRule="exact"/>
        <w:ind w:firstLine="560"/>
        <w:jc w:val="left"/>
        <w:rPr>
          <w:rFonts w:hint="default" w:hAnsi="仿宋_GB2312" w:cs="仿宋_GB2312"/>
          <w:color w:val="auto"/>
          <w:sz w:val="28"/>
          <w:szCs w:val="28"/>
        </w:rPr>
      </w:pPr>
    </w:p>
    <w:p>
      <w:pPr>
        <w:keepNext w:val="0"/>
        <w:keepLines w:val="0"/>
        <w:pageBreakBefore w:val="0"/>
        <w:widowControl w:val="0"/>
        <w:kinsoku/>
        <w:wordWrap/>
        <w:overflowPunct/>
        <w:topLinePunct w:val="0"/>
        <w:autoSpaceDE/>
        <w:autoSpaceDN w:val="0"/>
        <w:bidi w:val="0"/>
        <w:adjustRightInd/>
        <w:snapToGrid/>
        <w:spacing w:line="240" w:lineRule="auto"/>
        <w:ind w:firstLine="561"/>
        <w:jc w:val="left"/>
        <w:textAlignment w:val="auto"/>
        <w:rPr>
          <w:rFonts w:hint="default" w:hAnsi="仿宋_GB2312" w:cs="仿宋_GB2312"/>
          <w:color w:val="auto"/>
          <w:sz w:val="32"/>
          <w:szCs w:val="32"/>
          <w:u w:val="single"/>
        </w:rPr>
      </w:pPr>
      <w:r>
        <w:rPr>
          <w:rFonts w:hint="default" w:hAnsi="仿宋_GB2312" w:cs="仿宋_GB2312"/>
          <w:color w:val="auto"/>
          <w:sz w:val="32"/>
          <w:szCs w:val="32"/>
        </w:rPr>
        <w:t xml:space="preserve"> 1.被</w:t>
      </w:r>
      <w:r>
        <w:rPr>
          <w:rFonts w:hint="eastAsia" w:hAnsi="仿宋_GB2312" w:cs="仿宋_GB2312"/>
          <w:color w:val="auto"/>
          <w:sz w:val="32"/>
          <w:szCs w:val="32"/>
          <w:lang w:val="en-US" w:eastAsia="zh-CN"/>
        </w:rPr>
        <w:t>抽查</w:t>
      </w:r>
      <w:r>
        <w:rPr>
          <w:rFonts w:hint="eastAsia" w:ascii="仿宋_GB2312" w:hAnsi="仿宋_GB2312" w:eastAsia="仿宋_GB2312" w:cs="仿宋_GB2312"/>
          <w:color w:val="auto"/>
          <w:sz w:val="32"/>
          <w:szCs w:val="32"/>
        </w:rPr>
        <w:t>学校：</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val="0"/>
        <w:bidi w:val="0"/>
        <w:adjustRightInd/>
        <w:snapToGrid/>
        <w:spacing w:line="240" w:lineRule="auto"/>
        <w:ind w:firstLine="561"/>
        <w:jc w:val="left"/>
        <w:textAlignment w:val="auto"/>
        <w:rPr>
          <w:rFonts w:hint="default" w:hAnsi="仿宋_GB2312" w:cs="仿宋_GB2312"/>
          <w:color w:val="auto"/>
          <w:sz w:val="32"/>
          <w:szCs w:val="32"/>
        </w:rPr>
      </w:pPr>
      <w:r>
        <w:rPr>
          <w:rFonts w:hint="default" w:hAnsi="仿宋_GB2312" w:cs="仿宋_GB2312"/>
          <w:color w:val="auto"/>
          <w:sz w:val="32"/>
          <w:szCs w:val="32"/>
        </w:rPr>
        <w:t xml:space="preserve"> 2.</w:t>
      </w:r>
      <w:r>
        <w:rPr>
          <w:rFonts w:hint="eastAsia" w:hAnsi="仿宋_GB2312" w:cs="仿宋_GB2312"/>
          <w:color w:val="auto"/>
          <w:sz w:val="32"/>
          <w:szCs w:val="32"/>
          <w:lang w:val="en-US" w:eastAsia="zh-CN"/>
        </w:rPr>
        <w:t>抽查</w:t>
      </w:r>
      <w:r>
        <w:rPr>
          <w:rFonts w:hint="default" w:hAnsi="仿宋_GB2312" w:cs="仿宋_GB2312"/>
          <w:color w:val="auto"/>
          <w:sz w:val="32"/>
          <w:szCs w:val="32"/>
        </w:rPr>
        <w:t>组别、</w:t>
      </w:r>
      <w:r>
        <w:rPr>
          <w:rFonts w:hint="eastAsia" w:ascii="仿宋_GB2312" w:hAnsi="仿宋_GB2312" w:eastAsia="仿宋_GB2312" w:cs="仿宋_GB2312"/>
          <w:color w:val="auto"/>
          <w:sz w:val="32"/>
          <w:szCs w:val="32"/>
        </w:rPr>
        <w:t>检查人</w:t>
      </w:r>
      <w:r>
        <w:rPr>
          <w:rFonts w:hint="default" w:hAnsi="仿宋_GB2312" w:cs="仿宋_GB2312"/>
          <w:color w:val="auto"/>
          <w:sz w:val="32"/>
          <w:szCs w:val="32"/>
        </w:rPr>
        <w:t>（签字）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r>
        <w:rPr>
          <w:rFonts w:hint="default" w:hAnsi="仿宋_GB2312" w:cs="仿宋_GB2312"/>
          <w:color w:val="auto"/>
          <w:sz w:val="32"/>
          <w:szCs w:val="32"/>
        </w:rPr>
        <w:t xml:space="preserve">                        </w:t>
      </w:r>
    </w:p>
    <w:p>
      <w:pPr>
        <w:keepNext w:val="0"/>
        <w:keepLines w:val="0"/>
        <w:pageBreakBefore w:val="0"/>
        <w:widowControl w:val="0"/>
        <w:kinsoku/>
        <w:wordWrap/>
        <w:overflowPunct/>
        <w:topLinePunct w:val="0"/>
        <w:autoSpaceDE/>
        <w:autoSpaceDN w:val="0"/>
        <w:bidi w:val="0"/>
        <w:adjustRightInd/>
        <w:snapToGrid/>
        <w:spacing w:line="240" w:lineRule="auto"/>
        <w:ind w:firstLine="561"/>
        <w:jc w:val="left"/>
        <w:textAlignment w:val="auto"/>
        <w:rPr>
          <w:rFonts w:hint="default" w:hAnsi="仿宋_GB2312" w:cs="仿宋_GB2312"/>
          <w:color w:val="auto"/>
          <w:sz w:val="32"/>
          <w:szCs w:val="32"/>
        </w:rPr>
      </w:pPr>
      <w:r>
        <w:rPr>
          <w:rFonts w:hint="default" w:hAnsi="仿宋_GB2312" w:cs="仿宋_GB2312"/>
          <w:color w:val="auto"/>
          <w:sz w:val="32"/>
          <w:szCs w:val="32"/>
        </w:rPr>
        <w:t xml:space="preserve"> 3.</w:t>
      </w:r>
      <w:r>
        <w:rPr>
          <w:rFonts w:hint="eastAsia" w:hAnsi="仿宋_GB2312" w:cs="仿宋_GB2312"/>
          <w:color w:val="auto"/>
          <w:sz w:val="32"/>
          <w:szCs w:val="32"/>
          <w:lang w:val="en-US" w:eastAsia="zh-CN"/>
        </w:rPr>
        <w:t>抽查</w:t>
      </w:r>
      <w:r>
        <w:rPr>
          <w:rFonts w:hint="default" w:hAnsi="仿宋_GB2312" w:cs="仿宋_GB2312"/>
          <w:color w:val="auto"/>
          <w:sz w:val="32"/>
          <w:szCs w:val="32"/>
        </w:rPr>
        <w:t>时间：</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r>
        <w:rPr>
          <w:rFonts w:hint="default" w:hAnsi="仿宋_GB2312" w:cs="仿宋_GB2312"/>
          <w:color w:val="auto"/>
          <w:sz w:val="32"/>
          <w:szCs w:val="32"/>
        </w:rPr>
        <w:t xml:space="preserve">                 </w:t>
      </w:r>
    </w:p>
    <w:p>
      <w:pPr>
        <w:keepNext w:val="0"/>
        <w:keepLines w:val="0"/>
        <w:pageBreakBefore w:val="0"/>
        <w:widowControl w:val="0"/>
        <w:kinsoku/>
        <w:wordWrap/>
        <w:overflowPunct/>
        <w:topLinePunct w:val="0"/>
        <w:autoSpaceDE/>
        <w:autoSpaceDN w:val="0"/>
        <w:bidi w:val="0"/>
        <w:adjustRightInd/>
        <w:snapToGrid/>
        <w:spacing w:line="240" w:lineRule="auto"/>
        <w:ind w:firstLine="561"/>
        <w:jc w:val="left"/>
        <w:textAlignment w:val="auto"/>
        <w:rPr>
          <w:rFonts w:hint="default" w:hAnsi="仿宋_GB2312" w:cs="仿宋_GB2312"/>
          <w:color w:val="auto"/>
          <w:sz w:val="32"/>
          <w:szCs w:val="32"/>
        </w:rPr>
      </w:pPr>
      <w:r>
        <w:rPr>
          <w:rFonts w:hint="default" w:hAnsi="仿宋_GB2312" w:cs="仿宋_GB2312"/>
          <w:color w:val="auto"/>
          <w:sz w:val="32"/>
          <w:szCs w:val="32"/>
        </w:rPr>
        <w:t xml:space="preserve"> 4.基础项目总得分（百分制）：</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r>
        <w:rPr>
          <w:rFonts w:hint="default" w:hAnsi="仿宋_GB2312" w:cs="仿宋_GB2312"/>
          <w:color w:val="auto"/>
          <w:sz w:val="32"/>
          <w:szCs w:val="32"/>
        </w:rPr>
        <w:t xml:space="preserve">   </w:t>
      </w:r>
    </w:p>
    <w:p>
      <w:pPr>
        <w:keepNext w:val="0"/>
        <w:keepLines w:val="0"/>
        <w:pageBreakBefore w:val="0"/>
        <w:widowControl w:val="0"/>
        <w:kinsoku/>
        <w:wordWrap/>
        <w:overflowPunct/>
        <w:topLinePunct w:val="0"/>
        <w:autoSpaceDE/>
        <w:autoSpaceDN w:val="0"/>
        <w:bidi w:val="0"/>
        <w:adjustRightInd/>
        <w:snapToGrid/>
        <w:spacing w:line="240" w:lineRule="auto"/>
        <w:ind w:firstLine="561"/>
        <w:jc w:val="left"/>
        <w:textAlignment w:val="auto"/>
        <w:rPr>
          <w:rFonts w:hint="default" w:hAnsi="仿宋_GB2312" w:cs="仿宋_GB2312"/>
          <w:color w:val="auto"/>
          <w:sz w:val="32"/>
          <w:szCs w:val="32"/>
        </w:rPr>
      </w:pPr>
      <w:r>
        <w:rPr>
          <w:rFonts w:hint="default" w:hAnsi="仿宋_GB2312" w:cs="仿宋_GB2312"/>
          <w:color w:val="auto"/>
          <w:sz w:val="32"/>
          <w:szCs w:val="32"/>
        </w:rPr>
        <w:t xml:space="preserve"> 5.奖惩项目得分（由教育主管部门评定）：</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r>
        <w:rPr>
          <w:rFonts w:hint="default" w:hAnsi="仿宋_GB2312" w:cs="仿宋_GB2312"/>
          <w:color w:val="auto"/>
          <w:sz w:val="32"/>
          <w:szCs w:val="32"/>
        </w:rPr>
        <w:t xml:space="preserve">                 </w:t>
      </w:r>
    </w:p>
    <w:p>
      <w:pPr>
        <w:keepNext w:val="0"/>
        <w:keepLines w:val="0"/>
        <w:pageBreakBefore w:val="0"/>
        <w:widowControl w:val="0"/>
        <w:kinsoku/>
        <w:wordWrap/>
        <w:overflowPunct/>
        <w:topLinePunct w:val="0"/>
        <w:autoSpaceDE/>
        <w:autoSpaceDN w:val="0"/>
        <w:bidi w:val="0"/>
        <w:adjustRightInd/>
        <w:snapToGrid/>
        <w:spacing w:line="240" w:lineRule="auto"/>
        <w:ind w:firstLine="561"/>
        <w:jc w:val="left"/>
        <w:textAlignment w:val="auto"/>
        <w:rPr>
          <w:rFonts w:hint="default" w:hAnsi="仿宋_GB2312" w:cs="仿宋_GB2312"/>
          <w:color w:val="auto"/>
          <w:sz w:val="32"/>
          <w:szCs w:val="32"/>
          <w:u w:val="single"/>
        </w:rPr>
      </w:pPr>
      <w:r>
        <w:rPr>
          <w:rFonts w:hint="default" w:hAnsi="仿宋_GB2312" w:cs="仿宋_GB2312"/>
          <w:color w:val="auto"/>
          <w:sz w:val="32"/>
          <w:szCs w:val="32"/>
        </w:rPr>
        <w:t xml:space="preserve"> 6.评定等级（由教育主管部门综合评定）：</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default" w:hAnsi="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val="0"/>
        <w:bidi w:val="0"/>
        <w:adjustRightInd/>
        <w:snapToGrid/>
        <w:spacing w:line="240" w:lineRule="auto"/>
        <w:ind w:firstLine="561"/>
        <w:jc w:val="left"/>
        <w:textAlignment w:val="auto"/>
        <w:rPr>
          <w:rFonts w:hint="default" w:hAnsi="仿宋_GB2312" w:cs="仿宋_GB2312"/>
          <w:color w:val="auto"/>
          <w:sz w:val="32"/>
          <w:szCs w:val="32"/>
          <w:u w:val="single"/>
        </w:rPr>
      </w:pPr>
    </w:p>
    <w:p>
      <w:pPr>
        <w:keepNext w:val="0"/>
        <w:keepLines w:val="0"/>
        <w:pageBreakBefore w:val="0"/>
        <w:widowControl w:val="0"/>
        <w:kinsoku/>
        <w:wordWrap/>
        <w:overflowPunct/>
        <w:topLinePunct w:val="0"/>
        <w:autoSpaceDE/>
        <w:autoSpaceDN w:val="0"/>
        <w:bidi w:val="0"/>
        <w:adjustRightInd/>
        <w:snapToGrid/>
        <w:spacing w:line="240" w:lineRule="auto"/>
        <w:ind w:firstLine="561"/>
        <w:jc w:val="left"/>
        <w:textAlignment w:val="auto"/>
        <w:rPr>
          <w:rFonts w:hint="default" w:hAnsi="仿宋_GB2312" w:cs="仿宋_GB2312"/>
          <w:color w:val="auto"/>
          <w:sz w:val="32"/>
          <w:szCs w:val="32"/>
          <w:u w:val="single"/>
        </w:rPr>
      </w:pPr>
    </w:p>
    <w:p>
      <w:pPr>
        <w:keepNext w:val="0"/>
        <w:keepLines w:val="0"/>
        <w:pageBreakBefore w:val="0"/>
        <w:widowControl w:val="0"/>
        <w:kinsoku/>
        <w:wordWrap/>
        <w:overflowPunct/>
        <w:topLinePunct w:val="0"/>
        <w:autoSpaceDE/>
        <w:autoSpaceDN w:val="0"/>
        <w:bidi w:val="0"/>
        <w:adjustRightInd/>
        <w:snapToGrid/>
        <w:spacing w:line="240" w:lineRule="auto"/>
        <w:ind w:firstLine="561"/>
        <w:jc w:val="left"/>
        <w:textAlignment w:val="auto"/>
        <w:rPr>
          <w:rFonts w:hint="default" w:hAnsi="仿宋_GB2312" w:cs="仿宋_GB2312"/>
          <w:color w:val="auto"/>
          <w:sz w:val="32"/>
          <w:szCs w:val="32"/>
          <w:u w:val="single"/>
        </w:rPr>
      </w:pPr>
    </w:p>
    <w:p>
      <w:pPr>
        <w:keepNext w:val="0"/>
        <w:keepLines w:val="0"/>
        <w:pageBreakBefore w:val="0"/>
        <w:widowControl w:val="0"/>
        <w:kinsoku/>
        <w:wordWrap/>
        <w:overflowPunct/>
        <w:topLinePunct w:val="0"/>
        <w:autoSpaceDE/>
        <w:autoSpaceDN w:val="0"/>
        <w:bidi w:val="0"/>
        <w:adjustRightInd/>
        <w:snapToGrid/>
        <w:spacing w:line="240" w:lineRule="auto"/>
        <w:ind w:firstLine="561"/>
        <w:jc w:val="left"/>
        <w:textAlignment w:val="auto"/>
        <w:rPr>
          <w:rFonts w:hint="default" w:hAnsi="仿宋_GB2312" w:cs="仿宋_GB2312"/>
          <w:color w:val="auto"/>
          <w:sz w:val="32"/>
          <w:szCs w:val="32"/>
          <w:u w:val="single"/>
        </w:rPr>
      </w:pPr>
    </w:p>
    <w:p>
      <w:pPr>
        <w:keepNext w:val="0"/>
        <w:keepLines w:val="0"/>
        <w:pageBreakBefore w:val="0"/>
        <w:widowControl w:val="0"/>
        <w:kinsoku/>
        <w:wordWrap/>
        <w:overflowPunct/>
        <w:topLinePunct w:val="0"/>
        <w:autoSpaceDE/>
        <w:autoSpaceDN w:val="0"/>
        <w:bidi w:val="0"/>
        <w:adjustRightInd/>
        <w:snapToGrid/>
        <w:spacing w:line="240" w:lineRule="auto"/>
        <w:ind w:firstLine="561"/>
        <w:jc w:val="left"/>
        <w:textAlignment w:val="auto"/>
        <w:rPr>
          <w:rFonts w:hint="default" w:hAnsi="仿宋_GB2312" w:cs="仿宋_GB2312"/>
          <w:color w:val="auto"/>
          <w:sz w:val="32"/>
          <w:szCs w:val="32"/>
          <w:u w:val="single"/>
        </w:rPr>
      </w:pPr>
    </w:p>
    <w:p>
      <w:pPr>
        <w:ind w:firstLine="11520" w:firstLineChars="4800"/>
        <w:jc w:val="both"/>
        <w:rPr>
          <w:rFonts w:hint="eastAsia" w:ascii="仿宋_GB2312" w:eastAsia="仿宋_GB2312"/>
          <w:color w:val="auto"/>
          <w:sz w:val="24"/>
          <w:lang w:val="en-US" w:eastAsia="zh-CN"/>
        </w:rPr>
      </w:pPr>
      <w:r>
        <w:rPr>
          <w:rFonts w:hint="eastAsia" w:ascii="仿宋_GB2312" w:eastAsia="仿宋_GB2312"/>
          <w:color w:val="auto"/>
          <w:sz w:val="24"/>
          <w:lang w:eastAsia="zh-CN"/>
        </w:rPr>
        <w:t>填表时间</w:t>
      </w: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WVmMWQ2ODE2YmJiYjI2MWY5ODg4MGViYzYwZjIifQ=="/>
  </w:docVars>
  <w:rsids>
    <w:rsidRoot w:val="20CB0422"/>
    <w:rsid w:val="066A7C95"/>
    <w:rsid w:val="0B93E178"/>
    <w:rsid w:val="11993EE7"/>
    <w:rsid w:val="12E65D92"/>
    <w:rsid w:val="17264C3F"/>
    <w:rsid w:val="20CB0422"/>
    <w:rsid w:val="27F8DB19"/>
    <w:rsid w:val="2E294A53"/>
    <w:rsid w:val="35D6D2AC"/>
    <w:rsid w:val="3EA3FCD6"/>
    <w:rsid w:val="56FFB26F"/>
    <w:rsid w:val="59F35047"/>
    <w:rsid w:val="616D55C9"/>
    <w:rsid w:val="6EFF095F"/>
    <w:rsid w:val="6F56876E"/>
    <w:rsid w:val="6FDFFCA6"/>
    <w:rsid w:val="71FF5796"/>
    <w:rsid w:val="731EB027"/>
    <w:rsid w:val="74B43717"/>
    <w:rsid w:val="7EE90F97"/>
    <w:rsid w:val="7F33C1A7"/>
    <w:rsid w:val="B5CD2138"/>
    <w:rsid w:val="C6D3745F"/>
    <w:rsid w:val="CE9AB166"/>
    <w:rsid w:val="D56F23DA"/>
    <w:rsid w:val="DBFB4644"/>
    <w:rsid w:val="E5FB830F"/>
    <w:rsid w:val="EF3F231C"/>
    <w:rsid w:val="F7DB93D6"/>
    <w:rsid w:val="F7FDCA61"/>
    <w:rsid w:val="FEBFD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3221</Words>
  <Characters>3311</Characters>
  <Lines>1</Lines>
  <Paragraphs>1</Paragraphs>
  <TotalTime>2</TotalTime>
  <ScaleCrop>false</ScaleCrop>
  <LinksUpToDate>false</LinksUpToDate>
  <CharactersWithSpaces>3465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2024-01-17T06:31:00Z</dcterms:created>
  <dc:creator>虎皮兔</dc:creator>
  <cp:lastModifiedBy>hkws</cp:lastModifiedBy>
  <cp:lastPrinted>2025-04-03T09:58:00Z</cp:lastPrinted>
  <dcterms:modified xsi:type="dcterms:W3CDTF">2025-04-02T15:10:06Z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F998E68AE51C433F9D0B454838DF12AD_11</vt:lpwstr>
  </property>
</Properties>
</file>