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adjustRightInd/>
        <w:spacing w:line="628" w:lineRule="atLeast"/>
        <w:ind w:firstLine="880"/>
        <w:jc w:val="center"/>
        <w:rPr>
          <w:rFonts w:hint="eastAsia" w:ascii="方正小标宋简体" w:hAnsi="宋体" w:eastAsia="方正小标宋简体"/>
          <w:b/>
          <w:color w:val="auto"/>
          <w:sz w:val="44"/>
          <w:szCs w:val="44"/>
          <w:lang w:val="en-US"/>
        </w:rPr>
      </w:pPr>
      <w:r>
        <w:rPr>
          <w:rFonts w:hint="eastAsia" w:ascii="方正小标宋简体" w:hAnsi="宋体" w:eastAsia="方正小标宋简体"/>
          <w:b/>
          <w:color w:val="auto"/>
          <w:sz w:val="44"/>
          <w:szCs w:val="44"/>
          <w:lang w:val="en-US"/>
        </w:rPr>
        <w:t>三门峡市龙湖小学</w:t>
      </w:r>
    </w:p>
    <w:p>
      <w:pPr>
        <w:widowControl/>
        <w:autoSpaceDE/>
        <w:autoSpaceDN/>
        <w:adjustRightInd/>
        <w:spacing w:line="628" w:lineRule="atLeast"/>
        <w:ind w:firstLine="880"/>
        <w:jc w:val="center"/>
        <w:rPr>
          <w:rFonts w:hint="eastAsia" w:ascii="方正小标宋简体" w:hAnsi="宋体" w:eastAsia="方正小标宋简体"/>
          <w:b/>
          <w:color w:val="auto"/>
          <w:sz w:val="44"/>
          <w:szCs w:val="44"/>
          <w:lang w:val="en-US"/>
        </w:rPr>
      </w:pPr>
      <w:r>
        <w:rPr>
          <w:rFonts w:hint="eastAsia" w:ascii="方正小标宋简体" w:hAnsi="宋体" w:eastAsia="方正小标宋简体"/>
          <w:b/>
          <w:color w:val="auto"/>
          <w:sz w:val="44"/>
          <w:szCs w:val="44"/>
          <w:lang w:val="en-US"/>
        </w:rPr>
        <w:t>教师专业技术职务评审推荐办法</w:t>
      </w:r>
    </w:p>
    <w:p>
      <w:pPr>
        <w:spacing w:before="312" w:beforeLines="100"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为了进一步调动全校教师工作的积极性，促进教师专业成长，不断提高教育教学质量，根据省、市有关文件要求，结合我校教师队伍实际情况，特制订本暂行方案。</w:t>
      </w:r>
    </w:p>
    <w:p>
      <w:pPr>
        <w:numPr>
          <w:ilvl w:val="0"/>
          <w:numId w:val="1"/>
        </w:numPr>
        <w:autoSpaceDE/>
        <w:autoSpaceDN/>
        <w:adjustRightInd/>
        <w:spacing w:line="420" w:lineRule="exact"/>
        <w:rPr>
          <w:rFonts w:hint="eastAsia" w:ascii="仿宋_GB2312" w:hAnsi="宋体" w:eastAsia="仿宋_GB2312"/>
          <w:b/>
          <w:kern w:val="28"/>
          <w:sz w:val="32"/>
          <w:szCs w:val="32"/>
        </w:rPr>
      </w:pPr>
      <w:r>
        <w:rPr>
          <w:rFonts w:hint="eastAsia" w:ascii="仿宋_GB2312" w:hAnsi="宋体" w:eastAsia="仿宋_GB2312"/>
          <w:b/>
          <w:kern w:val="28"/>
          <w:sz w:val="32"/>
          <w:szCs w:val="32"/>
        </w:rPr>
        <w:t>指导思想</w:t>
      </w:r>
    </w:p>
    <w:p>
      <w:pPr>
        <w:spacing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坚持“重德、重能、重绩”，“客观、公平、择优、激励”的原则，采用定性评价和定量考核相结合的方法，按学校评审成绩排序并结合上级分配的名额指标，确定职称推荐教师人选。</w:t>
      </w:r>
    </w:p>
    <w:p>
      <w:pPr>
        <w:spacing w:line="420" w:lineRule="exact"/>
        <w:ind w:firstLine="643" w:firstLineChars="200"/>
        <w:rPr>
          <w:rFonts w:hint="eastAsia" w:ascii="仿宋_GB2312" w:hAnsi="宋体" w:eastAsia="仿宋_GB2312"/>
          <w:b/>
          <w:kern w:val="28"/>
          <w:sz w:val="32"/>
          <w:szCs w:val="32"/>
        </w:rPr>
      </w:pPr>
      <w:r>
        <w:rPr>
          <w:rFonts w:hint="eastAsia" w:ascii="仿宋_GB2312" w:hAnsi="宋体" w:eastAsia="仿宋_GB2312"/>
          <w:b/>
          <w:kern w:val="28"/>
          <w:sz w:val="32"/>
          <w:szCs w:val="32"/>
        </w:rPr>
        <w:t>二、基本条件</w:t>
      </w:r>
    </w:p>
    <w:p>
      <w:pPr>
        <w:spacing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1．参评资格：我校教师申报参评中、高级专业技术职务，必须符合上级行政部门关于教师申报各级各类职称的政策条件。</w:t>
      </w:r>
    </w:p>
    <w:p>
      <w:pPr>
        <w:widowControl/>
        <w:spacing w:line="420" w:lineRule="exact"/>
        <w:ind w:firstLine="640" w:firstLineChars="200"/>
        <w:jc w:val="left"/>
        <w:rPr>
          <w:rFonts w:hint="eastAsia" w:ascii="仿宋_GB2312" w:hAnsi="宋体" w:eastAsia="仿宋_GB2312"/>
          <w:kern w:val="28"/>
          <w:sz w:val="32"/>
          <w:szCs w:val="32"/>
        </w:rPr>
      </w:pPr>
      <w:r>
        <w:rPr>
          <w:rFonts w:hint="eastAsia" w:ascii="仿宋_GB2312" w:hAnsi="宋体" w:eastAsia="仿宋_GB2312"/>
          <w:kern w:val="28"/>
          <w:sz w:val="32"/>
          <w:szCs w:val="32"/>
        </w:rPr>
        <w:t>2．有下列情形之一者，当年不能参加评审：</w:t>
      </w:r>
    </w:p>
    <w:p>
      <w:pPr>
        <w:widowControl/>
        <w:spacing w:line="420" w:lineRule="exact"/>
        <w:ind w:firstLine="640" w:firstLineChars="200"/>
        <w:jc w:val="left"/>
        <w:rPr>
          <w:rFonts w:hint="eastAsia" w:ascii="仿宋_GB2312" w:hAnsi="宋体" w:eastAsia="仿宋_GB2312"/>
          <w:kern w:val="28"/>
          <w:sz w:val="32"/>
          <w:szCs w:val="32"/>
        </w:rPr>
      </w:pPr>
      <w:r>
        <w:rPr>
          <w:rFonts w:hint="eastAsia" w:ascii="仿宋_GB2312" w:hAnsi="宋体" w:eastAsia="仿宋_GB2312"/>
          <w:kern w:val="28"/>
          <w:sz w:val="32"/>
          <w:szCs w:val="32"/>
        </w:rPr>
        <w:t>（1）任现职自参评当年</w:t>
      </w:r>
      <w:bookmarkStart w:id="0" w:name="_GoBack"/>
      <w:bookmarkEnd w:id="0"/>
      <w:r>
        <w:rPr>
          <w:rFonts w:hint="eastAsia" w:ascii="仿宋_GB2312" w:hAnsi="宋体" w:eastAsia="仿宋_GB2312"/>
          <w:kern w:val="28"/>
          <w:sz w:val="32"/>
          <w:szCs w:val="32"/>
        </w:rPr>
        <w:t>上溯四年期间曾被学校和上级部门认定为有教育教学责任事故的。</w:t>
      </w:r>
    </w:p>
    <w:p>
      <w:pPr>
        <w:widowControl/>
        <w:spacing w:line="420" w:lineRule="exact"/>
        <w:ind w:firstLine="640" w:firstLineChars="200"/>
        <w:jc w:val="left"/>
        <w:rPr>
          <w:rFonts w:hint="eastAsia" w:ascii="仿宋_GB2312" w:hAnsi="宋体" w:eastAsia="仿宋_GB2312"/>
          <w:kern w:val="28"/>
          <w:sz w:val="32"/>
          <w:szCs w:val="32"/>
        </w:rPr>
      </w:pPr>
      <w:r>
        <w:rPr>
          <w:rFonts w:hint="eastAsia" w:ascii="仿宋_GB2312" w:hAnsi="宋体" w:eastAsia="仿宋_GB2312"/>
          <w:kern w:val="28"/>
          <w:sz w:val="32"/>
          <w:szCs w:val="32"/>
        </w:rPr>
        <w:t>（2）参评当年事假累计超过15天，病假2个月的。</w:t>
      </w:r>
    </w:p>
    <w:p>
      <w:pPr>
        <w:widowControl/>
        <w:spacing w:line="420" w:lineRule="exact"/>
        <w:ind w:firstLine="640" w:firstLineChars="200"/>
        <w:jc w:val="left"/>
        <w:rPr>
          <w:rFonts w:hint="eastAsia" w:ascii="仿宋_GB2312" w:hAnsi="宋体" w:eastAsia="仿宋_GB2312"/>
          <w:kern w:val="28"/>
          <w:sz w:val="32"/>
          <w:szCs w:val="32"/>
        </w:rPr>
      </w:pPr>
      <w:r>
        <w:rPr>
          <w:rFonts w:hint="eastAsia" w:ascii="仿宋_GB2312" w:hAnsi="宋体" w:eastAsia="仿宋_GB2312"/>
          <w:kern w:val="28"/>
          <w:sz w:val="32"/>
          <w:szCs w:val="32"/>
        </w:rPr>
        <w:t>（3）任现职自参评当年始上溯四年期间内曾不服从学校工作安排者。</w:t>
      </w:r>
    </w:p>
    <w:p>
      <w:pPr>
        <w:widowControl/>
        <w:spacing w:line="420" w:lineRule="exact"/>
        <w:ind w:firstLine="640" w:firstLineChars="200"/>
        <w:jc w:val="left"/>
        <w:rPr>
          <w:rFonts w:hint="eastAsia" w:ascii="仿宋_GB2312" w:hAnsi="宋体" w:eastAsia="仿宋_GB2312"/>
          <w:kern w:val="28"/>
          <w:sz w:val="32"/>
          <w:szCs w:val="32"/>
        </w:rPr>
      </w:pPr>
      <w:r>
        <w:rPr>
          <w:rFonts w:hint="eastAsia" w:ascii="仿宋_GB2312" w:hAnsi="宋体" w:eastAsia="仿宋_GB2312"/>
          <w:kern w:val="28"/>
          <w:sz w:val="32"/>
          <w:szCs w:val="32"/>
        </w:rPr>
        <w:t>（4）不愿或不能履行相应职级教师岗位职责的。</w:t>
      </w:r>
    </w:p>
    <w:p>
      <w:pPr>
        <w:widowControl/>
        <w:spacing w:line="420" w:lineRule="exact"/>
        <w:ind w:firstLine="640" w:firstLineChars="200"/>
        <w:jc w:val="left"/>
        <w:rPr>
          <w:rFonts w:hint="eastAsia" w:ascii="仿宋_GB2312" w:hAnsi="宋体" w:eastAsia="仿宋_GB2312"/>
          <w:kern w:val="28"/>
          <w:sz w:val="32"/>
          <w:szCs w:val="32"/>
        </w:rPr>
      </w:pPr>
      <w:r>
        <w:rPr>
          <w:rFonts w:hint="eastAsia" w:ascii="仿宋_GB2312" w:hAnsi="宋体" w:eastAsia="仿宋_GB2312"/>
          <w:kern w:val="28"/>
          <w:sz w:val="32"/>
          <w:szCs w:val="32"/>
        </w:rPr>
        <w:t>（5）严重违反教师职业道德规范并造成恶劣影响的。</w:t>
      </w:r>
    </w:p>
    <w:p>
      <w:pPr>
        <w:widowControl/>
        <w:spacing w:line="420" w:lineRule="exact"/>
        <w:ind w:firstLine="640" w:firstLineChars="200"/>
        <w:jc w:val="left"/>
        <w:rPr>
          <w:rFonts w:hint="eastAsia" w:ascii="仿宋_GB2312" w:hAnsi="宋体" w:eastAsia="仿宋_GB2312"/>
          <w:kern w:val="28"/>
          <w:sz w:val="32"/>
          <w:szCs w:val="32"/>
        </w:rPr>
      </w:pPr>
      <w:r>
        <w:rPr>
          <w:rFonts w:hint="eastAsia" w:ascii="仿宋_GB2312" w:hAnsi="宋体" w:eastAsia="仿宋_GB2312"/>
          <w:kern w:val="28"/>
          <w:sz w:val="32"/>
          <w:szCs w:val="32"/>
        </w:rPr>
        <w:t>（6）任现职以来凡有一年年度考核为不合格的。</w:t>
      </w:r>
    </w:p>
    <w:p>
      <w:pPr>
        <w:widowControl/>
        <w:spacing w:line="420" w:lineRule="exact"/>
        <w:ind w:firstLine="643" w:firstLineChars="200"/>
        <w:jc w:val="left"/>
        <w:rPr>
          <w:rFonts w:hint="eastAsia" w:ascii="仿宋_GB2312" w:hAnsi="宋体" w:eastAsia="仿宋_GB2312"/>
          <w:b/>
          <w:kern w:val="28"/>
          <w:sz w:val="32"/>
          <w:szCs w:val="32"/>
        </w:rPr>
      </w:pPr>
      <w:r>
        <w:rPr>
          <w:rFonts w:hint="eastAsia" w:ascii="仿宋_GB2312" w:hAnsi="宋体" w:eastAsia="仿宋_GB2312"/>
          <w:b/>
          <w:kern w:val="28"/>
          <w:sz w:val="32"/>
          <w:szCs w:val="32"/>
        </w:rPr>
        <w:t>三、量化项目及积分办法</w:t>
      </w:r>
    </w:p>
    <w:p>
      <w:pPr>
        <w:widowControl/>
        <w:spacing w:line="420" w:lineRule="exact"/>
        <w:ind w:firstLine="643" w:firstLineChars="200"/>
        <w:jc w:val="left"/>
        <w:rPr>
          <w:rFonts w:hint="eastAsia" w:ascii="仿宋_GB2312" w:hAnsi="宋体" w:eastAsia="仿宋_GB2312"/>
          <w:kern w:val="28"/>
          <w:sz w:val="32"/>
          <w:szCs w:val="32"/>
        </w:rPr>
      </w:pPr>
      <w:r>
        <w:rPr>
          <w:rFonts w:hint="eastAsia" w:ascii="仿宋_GB2312" w:hAnsi="宋体" w:eastAsia="仿宋_GB2312"/>
          <w:b/>
          <w:kern w:val="28"/>
          <w:sz w:val="32"/>
          <w:szCs w:val="32"/>
        </w:rPr>
        <w:t>1．教龄计分：</w:t>
      </w:r>
      <w:r>
        <w:rPr>
          <w:rFonts w:hint="eastAsia" w:ascii="仿宋_GB2312" w:hAnsi="宋体" w:eastAsia="仿宋_GB2312"/>
          <w:kern w:val="28"/>
          <w:sz w:val="32"/>
          <w:szCs w:val="32"/>
        </w:rPr>
        <w:t>每年1分；</w:t>
      </w:r>
    </w:p>
    <w:p>
      <w:pPr>
        <w:spacing w:line="420" w:lineRule="exact"/>
        <w:ind w:firstLine="643" w:firstLineChars="200"/>
        <w:rPr>
          <w:rFonts w:hint="eastAsia" w:ascii="仿宋_GB2312" w:hAnsi="宋体" w:eastAsia="仿宋_GB2312"/>
          <w:b/>
          <w:kern w:val="28"/>
          <w:sz w:val="32"/>
          <w:szCs w:val="32"/>
        </w:rPr>
      </w:pPr>
      <w:r>
        <w:rPr>
          <w:rFonts w:hint="eastAsia" w:ascii="仿宋_GB2312" w:hAnsi="宋体" w:eastAsia="仿宋_GB2312"/>
          <w:b/>
          <w:kern w:val="28"/>
          <w:sz w:val="32"/>
          <w:szCs w:val="32"/>
        </w:rPr>
        <w:t>2．任职年限计分：</w:t>
      </w:r>
    </w:p>
    <w:p>
      <w:pPr>
        <w:spacing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1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⑴</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以聘任证书上填写的时间为准，任现职以来，按年份计算每一年记1分。当年非学校派遣脱产进修学习、请1个月（含）以上病假、15天以上事假等不在任职岗位的，不记当年的岗位任职年限分。</w:t>
      </w:r>
    </w:p>
    <w:p>
      <w:pPr>
        <w:spacing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2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⑵</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超过小学中、高级专业技术任职年限，每超一年加计1分。当年非学校派遣脱产进修学习、请1个月（含）以上病假、15天以上事假等不在任职岗位的，不记当年的超任职年限分。</w:t>
      </w:r>
    </w:p>
    <w:p>
      <w:pPr>
        <w:spacing w:line="420" w:lineRule="exact"/>
        <w:ind w:firstLine="643" w:firstLineChars="200"/>
        <w:rPr>
          <w:rFonts w:hint="eastAsia" w:ascii="仿宋_GB2312" w:hAnsi="宋体" w:eastAsia="仿宋_GB2312"/>
          <w:b/>
          <w:kern w:val="28"/>
          <w:sz w:val="32"/>
          <w:szCs w:val="32"/>
        </w:rPr>
      </w:pPr>
      <w:r>
        <w:rPr>
          <w:rFonts w:hint="eastAsia" w:ascii="仿宋_GB2312" w:hAnsi="宋体" w:eastAsia="仿宋_GB2312"/>
          <w:b/>
          <w:kern w:val="28"/>
          <w:sz w:val="32"/>
          <w:szCs w:val="32"/>
        </w:rPr>
        <w:t>3．学历计分：</w:t>
      </w:r>
    </w:p>
    <w:p>
      <w:pPr>
        <w:spacing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1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⑴</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第一学历为全日制师范类专科4分，其他类专科3分；第一学历为全日制师范类本科5分，其他类本科4分；第一学历为全日制师范类研究生6分，其他类研究生5分。</w:t>
      </w:r>
    </w:p>
    <w:p>
      <w:pPr>
        <w:spacing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2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⑵</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第二、三学历为非全日制师范类专科 3分 ，非全日制非师范类专科不计分。</w:t>
      </w:r>
    </w:p>
    <w:p>
      <w:pPr>
        <w:spacing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3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⑶</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第二、三学历为非全日制师范类本科 4分 ，非全日制非师范类本科不计分。</w:t>
      </w:r>
    </w:p>
    <w:p>
      <w:pPr>
        <w:spacing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本项按最高得分计6分，同级同类学历不累计计分。</w:t>
      </w:r>
    </w:p>
    <w:p>
      <w:pPr>
        <w:spacing w:line="420" w:lineRule="exact"/>
        <w:ind w:firstLine="643" w:firstLineChars="200"/>
        <w:rPr>
          <w:rFonts w:hint="eastAsia" w:ascii="仿宋_GB2312" w:hAnsi="宋体" w:eastAsia="仿宋_GB2312"/>
          <w:b/>
          <w:kern w:val="28"/>
          <w:sz w:val="32"/>
          <w:szCs w:val="32"/>
        </w:rPr>
      </w:pPr>
      <w:r>
        <w:rPr>
          <w:rFonts w:hint="eastAsia" w:ascii="仿宋_GB2312" w:hAnsi="宋体" w:eastAsia="仿宋_GB2312"/>
          <w:b/>
          <w:kern w:val="28"/>
          <w:sz w:val="32"/>
          <w:szCs w:val="32"/>
        </w:rPr>
        <w:t>4．</w:t>
      </w:r>
      <w:r>
        <w:rPr>
          <w:rFonts w:hint="eastAsia" w:ascii="仿宋_GB2312" w:eastAsia="仿宋_GB2312"/>
          <w:b/>
          <w:sz w:val="32"/>
          <w:szCs w:val="32"/>
        </w:rPr>
        <w:t>职务</w:t>
      </w:r>
      <w:r>
        <w:rPr>
          <w:rFonts w:hint="eastAsia" w:ascii="仿宋_GB2312" w:hAnsi="宋体" w:eastAsia="仿宋_GB2312"/>
          <w:b/>
          <w:kern w:val="28"/>
          <w:sz w:val="32"/>
          <w:szCs w:val="32"/>
        </w:rPr>
        <w:t>计分：</w:t>
      </w:r>
    </w:p>
    <w:p>
      <w:pPr>
        <w:widowControl/>
        <w:tabs>
          <w:tab w:val="left" w:pos="2700"/>
        </w:tabs>
        <w:spacing w:line="420" w:lineRule="exact"/>
        <w:ind w:firstLine="640" w:firstLineChars="200"/>
        <w:jc w:val="left"/>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1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⑴</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任现职以来，在我校曾担任班主任的，每年计1分；现任班主任加计1分。</w:t>
      </w:r>
    </w:p>
    <w:p>
      <w:pPr>
        <w:widowControl/>
        <w:tabs>
          <w:tab w:val="left" w:pos="2700"/>
        </w:tabs>
        <w:spacing w:line="420" w:lineRule="exact"/>
        <w:ind w:firstLine="640" w:firstLineChars="200"/>
        <w:jc w:val="left"/>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2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⑵</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任现职以来，在我校曾担任校级领导职务每年1.5分，中层</w:t>
      </w:r>
      <w:r>
        <w:rPr>
          <w:rFonts w:hint="eastAsia" w:ascii="仿宋_GB2312" w:eastAsia="仿宋_GB2312"/>
          <w:sz w:val="32"/>
          <w:szCs w:val="32"/>
        </w:rPr>
        <w:t>正职每年1分，副职0.5分</w:t>
      </w:r>
      <w:r>
        <w:rPr>
          <w:rFonts w:hint="eastAsia" w:ascii="仿宋_GB2312" w:hAnsi="宋体" w:eastAsia="仿宋_GB2312"/>
          <w:kern w:val="28"/>
          <w:sz w:val="32"/>
          <w:szCs w:val="32"/>
        </w:rPr>
        <w:t xml:space="preserve">。 </w:t>
      </w:r>
    </w:p>
    <w:p>
      <w:pPr>
        <w:widowControl/>
        <w:spacing w:line="420" w:lineRule="exact"/>
        <w:ind w:firstLine="640" w:firstLineChars="200"/>
        <w:jc w:val="left"/>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3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⑶</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任现职以来，在我校任备课组长、教研组长、年级主任的每学期计0.2分。</w:t>
      </w:r>
    </w:p>
    <w:p>
      <w:pPr>
        <w:widowControl/>
        <w:spacing w:line="420" w:lineRule="exact"/>
        <w:ind w:firstLine="640" w:firstLineChars="200"/>
        <w:jc w:val="left"/>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4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⑷</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任现职以来，在我校毕业班任语、数、英学科，每年计2分。</w:t>
      </w:r>
    </w:p>
    <w:p>
      <w:pPr>
        <w:spacing w:line="420" w:lineRule="exact"/>
        <w:ind w:firstLine="643" w:firstLineChars="200"/>
        <w:rPr>
          <w:rFonts w:hint="eastAsia" w:ascii="仿宋_GB2312" w:hAnsi="宋体" w:eastAsia="仿宋_GB2312"/>
          <w:b/>
          <w:color w:val="auto"/>
          <w:kern w:val="28"/>
          <w:sz w:val="32"/>
          <w:szCs w:val="32"/>
        </w:rPr>
      </w:pPr>
      <w:r>
        <w:rPr>
          <w:rFonts w:hint="eastAsia" w:ascii="仿宋_GB2312" w:hAnsi="宋体" w:eastAsia="仿宋_GB2312"/>
          <w:b/>
          <w:kern w:val="28"/>
          <w:sz w:val="32"/>
          <w:szCs w:val="32"/>
        </w:rPr>
        <w:t>5．工作量计分：</w:t>
      </w:r>
    </w:p>
    <w:p>
      <w:pPr>
        <w:spacing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1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⑴</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近四年以来，按照在我校担任工作量的多少，一个标准工作量每年计2分。</w:t>
      </w:r>
    </w:p>
    <w:p>
      <w:pPr>
        <w:spacing w:line="420" w:lineRule="exact"/>
        <w:ind w:firstLine="640" w:firstLineChars="200"/>
        <w:rPr>
          <w:rFonts w:hint="eastAsia" w:ascii="仿宋_GB2312" w:eastAsia="仿宋_GB2312"/>
          <w:kern w:val="2"/>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2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⑵</w:t>
      </w:r>
      <w:r>
        <w:rPr>
          <w:rFonts w:hint="eastAsia" w:ascii="仿宋_GB2312" w:hAnsi="宋体" w:eastAsia="仿宋_GB2312"/>
          <w:kern w:val="28"/>
          <w:sz w:val="32"/>
          <w:szCs w:val="32"/>
        </w:rPr>
        <w:fldChar w:fldCharType="end"/>
      </w:r>
      <w:r>
        <w:rPr>
          <w:rFonts w:hint="eastAsia" w:ascii="仿宋_GB2312" w:eastAsia="仿宋_GB2312"/>
          <w:sz w:val="32"/>
          <w:szCs w:val="32"/>
        </w:rPr>
        <w:t>2016年以后调入的教师，不在学校工作的工作量按照本人来校后的平均值计算。</w:t>
      </w:r>
    </w:p>
    <w:p>
      <w:pPr>
        <w:spacing w:line="420" w:lineRule="exact"/>
        <w:ind w:firstLine="643" w:firstLineChars="200"/>
        <w:rPr>
          <w:rFonts w:hint="eastAsia" w:ascii="仿宋_GB2312" w:hAnsi="宋体" w:eastAsia="仿宋_GB2312"/>
          <w:b/>
          <w:kern w:val="28"/>
          <w:sz w:val="32"/>
          <w:szCs w:val="32"/>
        </w:rPr>
      </w:pPr>
      <w:r>
        <w:rPr>
          <w:rFonts w:hint="eastAsia" w:ascii="仿宋_GB2312" w:hAnsi="宋体" w:eastAsia="仿宋_GB2312"/>
          <w:b/>
          <w:kern w:val="28"/>
          <w:sz w:val="32"/>
          <w:szCs w:val="32"/>
        </w:rPr>
        <w:t>6．教学成绩得分</w:t>
      </w:r>
    </w:p>
    <w:p>
      <w:pPr>
        <w:spacing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1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⑴</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语文和一、二年级数学为一组，三到六年级数学、英语为一组，按照每学期末参评人员的平均分与能搜集到的直属小学同年级、同学科的平均分之比排序，最高5分，最低2分。</w:t>
      </w:r>
    </w:p>
    <w:p>
      <w:pPr>
        <w:spacing w:line="42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2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⑵</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六年级教师每年参加市教育局组织的市直小升初考试获得第一名另加2分，第二名另加1分。（如果当年没有组织每人另加1分）。</w:t>
      </w:r>
    </w:p>
    <w:p>
      <w:pPr>
        <w:ind w:firstLine="630"/>
        <w:rPr>
          <w:rFonts w:hint="eastAsia" w:ascii="仿宋_GB2312" w:hAnsi="宋体" w:eastAsia="仿宋_GB2312"/>
          <w:color w:val="auto"/>
          <w:kern w:val="28"/>
          <w:sz w:val="32"/>
          <w:szCs w:val="32"/>
        </w:rPr>
      </w:pPr>
      <w:r>
        <w:rPr>
          <w:rFonts w:hint="eastAsia" w:ascii="仿宋_GB2312" w:hAnsi="宋体" w:eastAsia="仿宋_GB2312"/>
          <w:kern w:val="28"/>
          <w:sz w:val="32"/>
          <w:szCs w:val="32"/>
        </w:rPr>
        <w:fldChar w:fldCharType="begin"/>
      </w:r>
      <w:r>
        <w:rPr>
          <w:rFonts w:hint="eastAsia" w:ascii="仿宋_GB2312" w:hAnsi="宋体" w:eastAsia="仿宋_GB2312"/>
          <w:kern w:val="28"/>
          <w:sz w:val="32"/>
          <w:szCs w:val="32"/>
        </w:rPr>
        <w:instrText xml:space="preserve"> = 3 \* GB2 </w:instrText>
      </w:r>
      <w:r>
        <w:rPr>
          <w:rFonts w:hint="eastAsia" w:ascii="仿宋_GB2312" w:hAnsi="宋体" w:eastAsia="仿宋_GB2312"/>
          <w:kern w:val="28"/>
          <w:sz w:val="32"/>
          <w:szCs w:val="32"/>
        </w:rPr>
        <w:fldChar w:fldCharType="separate"/>
      </w:r>
      <w:r>
        <w:rPr>
          <w:rFonts w:hint="eastAsia" w:ascii="仿宋_GB2312" w:hAnsi="宋体" w:eastAsia="仿宋_GB2312"/>
          <w:kern w:val="28"/>
          <w:sz w:val="32"/>
          <w:szCs w:val="32"/>
        </w:rPr>
        <w:t>⑶</w:t>
      </w:r>
      <w:r>
        <w:rPr>
          <w:rFonts w:hint="eastAsia" w:ascii="仿宋_GB2312" w:hAnsi="宋体" w:eastAsia="仿宋_GB2312"/>
          <w:kern w:val="28"/>
          <w:sz w:val="32"/>
          <w:szCs w:val="32"/>
        </w:rPr>
        <w:fldChar w:fldCharType="end"/>
      </w:r>
      <w:r>
        <w:rPr>
          <w:rFonts w:hint="eastAsia" w:ascii="仿宋_GB2312" w:hAnsi="宋体" w:eastAsia="仿宋_GB2312"/>
          <w:kern w:val="28"/>
          <w:sz w:val="32"/>
          <w:szCs w:val="32"/>
        </w:rPr>
        <w:t>计算近四年我校的成绩得分。</w:t>
      </w:r>
    </w:p>
    <w:p>
      <w:pPr>
        <w:ind w:firstLine="630"/>
        <w:rPr>
          <w:rFonts w:hint="eastAsia" w:ascii="仿宋_GB2312" w:hAnsi="宋体" w:eastAsia="仿宋_GB2312"/>
          <w:b/>
          <w:kern w:val="28"/>
          <w:sz w:val="32"/>
          <w:szCs w:val="32"/>
        </w:rPr>
      </w:pPr>
      <w:r>
        <w:rPr>
          <w:rFonts w:hint="eastAsia" w:ascii="仿宋_GB2312" w:eastAsia="仿宋_GB2312"/>
          <w:b/>
          <w:sz w:val="32"/>
          <w:szCs w:val="32"/>
        </w:rPr>
        <w:t>7．奖励分（</w:t>
      </w:r>
      <w:r>
        <w:rPr>
          <w:rFonts w:hint="eastAsia" w:ascii="仿宋_GB2312" w:eastAsia="仿宋_GB2312"/>
          <w:sz w:val="32"/>
          <w:szCs w:val="32"/>
        </w:rPr>
        <w:t>满分30分）</w:t>
      </w:r>
    </w:p>
    <w:tbl>
      <w:tblPr>
        <w:tblStyle w:val="4"/>
        <w:tblW w:w="9239" w:type="dxa"/>
        <w:tblInd w:w="0" w:type="dxa"/>
        <w:tblLayout w:type="fixed"/>
        <w:tblCellMar>
          <w:top w:w="0" w:type="dxa"/>
          <w:left w:w="0" w:type="dxa"/>
          <w:bottom w:w="0" w:type="dxa"/>
          <w:right w:w="0" w:type="dxa"/>
        </w:tblCellMar>
      </w:tblPr>
      <w:tblGrid>
        <w:gridCol w:w="1537"/>
        <w:gridCol w:w="433"/>
        <w:gridCol w:w="388"/>
        <w:gridCol w:w="540"/>
        <w:gridCol w:w="539"/>
        <w:gridCol w:w="539"/>
        <w:gridCol w:w="538"/>
        <w:gridCol w:w="538"/>
        <w:gridCol w:w="539"/>
        <w:gridCol w:w="538"/>
        <w:gridCol w:w="538"/>
        <w:gridCol w:w="539"/>
        <w:gridCol w:w="538"/>
        <w:gridCol w:w="538"/>
        <w:gridCol w:w="359"/>
        <w:gridCol w:w="548"/>
        <w:gridCol w:w="50"/>
      </w:tblGrid>
      <w:tr>
        <w:tblPrEx>
          <w:tblCellMar>
            <w:top w:w="0" w:type="dxa"/>
            <w:left w:w="0" w:type="dxa"/>
            <w:bottom w:w="0" w:type="dxa"/>
            <w:right w:w="0" w:type="dxa"/>
          </w:tblCellMar>
        </w:tblPrEx>
        <w:trPr>
          <w:trHeight w:val="312" w:hRule="atLeast"/>
        </w:trPr>
        <w:tc>
          <w:tcPr>
            <w:tcW w:w="1538" w:type="dxa"/>
            <w:tcBorders>
              <w:top w:val="single" w:color="000000" w:sz="12" w:space="0"/>
              <w:left w:val="single" w:color="000000" w:sz="12" w:space="0"/>
              <w:bottom w:val="single" w:color="auto" w:sz="12" w:space="0"/>
              <w:right w:val="single" w:color="000000" w:sz="4" w:space="0"/>
            </w:tcBorders>
            <w:vAlign w:val="center"/>
          </w:tcPr>
          <w:p>
            <w:pPr>
              <w:spacing w:line="336" w:lineRule="atLeast"/>
              <w:jc w:val="center"/>
              <w:rPr>
                <w:rFonts w:hint="eastAsia" w:ascii="仿宋_GB2312" w:eastAsia="仿宋_GB2312"/>
                <w:sz w:val="32"/>
                <w:szCs w:val="32"/>
              </w:rPr>
            </w:pPr>
            <w:r>
              <w:rPr>
                <w:rFonts w:hint="eastAsia" w:ascii="仿宋_GB2312" w:eastAsia="仿宋_GB2312"/>
                <w:sz w:val="32"/>
                <w:szCs w:val="32"/>
              </w:rPr>
              <w:t>获奖类别</w:t>
            </w:r>
          </w:p>
        </w:tc>
        <w:tc>
          <w:tcPr>
            <w:tcW w:w="819" w:type="dxa"/>
            <w:gridSpan w:val="2"/>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校级</w:t>
            </w:r>
          </w:p>
        </w:tc>
        <w:tc>
          <w:tcPr>
            <w:tcW w:w="1620" w:type="dxa"/>
            <w:gridSpan w:val="3"/>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市直</w:t>
            </w:r>
          </w:p>
        </w:tc>
        <w:tc>
          <w:tcPr>
            <w:tcW w:w="1618" w:type="dxa"/>
            <w:gridSpan w:val="3"/>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市级</w:t>
            </w:r>
          </w:p>
        </w:tc>
        <w:tc>
          <w:tcPr>
            <w:tcW w:w="1618" w:type="dxa"/>
            <w:gridSpan w:val="3"/>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省级</w:t>
            </w:r>
          </w:p>
        </w:tc>
        <w:tc>
          <w:tcPr>
            <w:tcW w:w="1986" w:type="dxa"/>
            <w:gridSpan w:val="4"/>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国家级</w:t>
            </w:r>
          </w:p>
        </w:tc>
        <w:tc>
          <w:tcPr>
            <w:tcW w:w="40" w:type="dxa"/>
            <w:tcBorders>
              <w:top w:val="single" w:color="000000" w:sz="12" w:space="0"/>
              <w:left w:val="single" w:color="000000" w:sz="12" w:space="0"/>
              <w:bottom w:val="nil"/>
              <w:right w:val="single" w:color="000000" w:sz="12"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满分</w:t>
            </w:r>
          </w:p>
          <w:p>
            <w:pPr>
              <w:spacing w:line="336" w:lineRule="atLeast"/>
              <w:jc w:val="center"/>
              <w:rPr>
                <w:rFonts w:hint="eastAsia" w:ascii="仿宋_GB2312" w:eastAsia="仿宋_GB2312"/>
                <w:sz w:val="32"/>
                <w:szCs w:val="32"/>
              </w:rPr>
            </w:pPr>
            <w:r>
              <w:rPr>
                <w:rFonts w:hint="eastAsia" w:ascii="仿宋_GB2312" w:eastAsia="仿宋_GB2312"/>
                <w:sz w:val="32"/>
                <w:szCs w:val="32"/>
              </w:rPr>
              <w:t>30</w:t>
            </w:r>
          </w:p>
        </w:tc>
      </w:tr>
      <w:tr>
        <w:tblPrEx>
          <w:tblCellMar>
            <w:top w:w="0" w:type="dxa"/>
            <w:left w:w="0" w:type="dxa"/>
            <w:bottom w:w="0" w:type="dxa"/>
            <w:right w:w="0" w:type="dxa"/>
          </w:tblCellMar>
        </w:tblPrEx>
        <w:trPr>
          <w:gridAfter w:val="1"/>
          <w:wAfter w:w="40" w:type="dxa"/>
          <w:trHeight w:val="317" w:hRule="atLeast"/>
        </w:trPr>
        <w:tc>
          <w:tcPr>
            <w:tcW w:w="1538" w:type="dxa"/>
            <w:vMerge w:val="restart"/>
            <w:tcBorders>
              <w:top w:val="single" w:color="auto" w:sz="12" w:space="0"/>
              <w:left w:val="single" w:color="000000" w:sz="12" w:space="0"/>
              <w:bottom w:val="single" w:color="000000" w:sz="4" w:space="0"/>
              <w:right w:val="single" w:color="000000" w:sz="4" w:space="0"/>
            </w:tcBorders>
            <w:vAlign w:val="center"/>
          </w:tcPr>
          <w:p>
            <w:pPr>
              <w:spacing w:line="265" w:lineRule="atLeast"/>
              <w:jc w:val="center"/>
              <w:rPr>
                <w:rFonts w:hint="eastAsia" w:ascii="仿宋_GB2312" w:eastAsia="仿宋_GB2312"/>
                <w:sz w:val="32"/>
                <w:szCs w:val="32"/>
              </w:rPr>
            </w:pPr>
            <w:r>
              <w:rPr>
                <w:rFonts w:hint="eastAsia" w:ascii="仿宋_GB2312" w:eastAsia="仿宋_GB2312"/>
                <w:sz w:val="32"/>
                <w:szCs w:val="32"/>
              </w:rPr>
              <w:t>优质课、说课、示范课、观摩课</w:t>
            </w:r>
          </w:p>
        </w:tc>
        <w:tc>
          <w:tcPr>
            <w:tcW w:w="432"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一</w:t>
            </w:r>
          </w:p>
        </w:tc>
        <w:tc>
          <w:tcPr>
            <w:tcW w:w="387"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二</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一</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二</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三</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一</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二</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三</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一</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二</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三</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一</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二</w:t>
            </w:r>
          </w:p>
        </w:tc>
        <w:tc>
          <w:tcPr>
            <w:tcW w:w="35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三</w:t>
            </w:r>
          </w:p>
        </w:tc>
        <w:tc>
          <w:tcPr>
            <w:tcW w:w="549" w:type="dxa"/>
            <w:vMerge w:val="restart"/>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gridAfter w:val="1"/>
          <w:wAfter w:w="40" w:type="dxa"/>
          <w:trHeight w:val="405" w:hRule="atLeast"/>
        </w:trPr>
        <w:tc>
          <w:tcPr>
            <w:tcW w:w="1538" w:type="dxa"/>
            <w:vMerge w:val="continue"/>
            <w:tcBorders>
              <w:top w:val="single" w:color="auto" w:sz="12" w:space="0"/>
              <w:left w:val="single" w:color="000000" w:sz="12" w:space="0"/>
              <w:bottom w:val="single" w:color="000000" w:sz="4" w:space="0"/>
              <w:right w:val="single" w:color="000000" w:sz="4" w:space="0"/>
            </w:tcBorders>
            <w:vAlign w:val="center"/>
          </w:tcPr>
          <w:p>
            <w:pPr>
              <w:widowControl/>
              <w:jc w:val="left"/>
              <w:rPr>
                <w:rFonts w:hint="eastAsia" w:ascii="仿宋_GB2312" w:eastAsia="仿宋_GB2312"/>
                <w:sz w:val="32"/>
                <w:szCs w:val="32"/>
              </w:rPr>
            </w:pPr>
          </w:p>
        </w:tc>
        <w:tc>
          <w:tcPr>
            <w:tcW w:w="432"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387"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0.5</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1.5</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4</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6</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4</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8</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6</w:t>
            </w:r>
          </w:p>
        </w:tc>
        <w:tc>
          <w:tcPr>
            <w:tcW w:w="35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4</w:t>
            </w:r>
          </w:p>
        </w:tc>
        <w:tc>
          <w:tcPr>
            <w:tcW w:w="549" w:type="dxa"/>
            <w:vMerge w:val="continue"/>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gridAfter w:val="1"/>
          <w:wAfter w:w="40" w:type="dxa"/>
          <w:trHeight w:val="323" w:hRule="atLeast"/>
        </w:trPr>
        <w:tc>
          <w:tcPr>
            <w:tcW w:w="1538"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论文</w:t>
            </w:r>
          </w:p>
        </w:tc>
        <w:tc>
          <w:tcPr>
            <w:tcW w:w="432"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0.5</w:t>
            </w:r>
          </w:p>
        </w:tc>
        <w:tc>
          <w:tcPr>
            <w:tcW w:w="387"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0.3</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0.8</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0.5</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1.5</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0.8</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1.5</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35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1.5</w:t>
            </w:r>
          </w:p>
        </w:tc>
        <w:tc>
          <w:tcPr>
            <w:tcW w:w="549" w:type="dxa"/>
            <w:vMerge w:val="continue"/>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gridAfter w:val="1"/>
          <w:wAfter w:w="40" w:type="dxa"/>
          <w:trHeight w:val="323" w:hRule="atLeast"/>
        </w:trPr>
        <w:tc>
          <w:tcPr>
            <w:tcW w:w="1538"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hAnsi="宋体" w:eastAsia="仿宋_GB2312"/>
                <w:sz w:val="32"/>
                <w:szCs w:val="32"/>
              </w:rPr>
              <w:t>CN报纸发表</w:t>
            </w:r>
          </w:p>
        </w:tc>
        <w:tc>
          <w:tcPr>
            <w:tcW w:w="432"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p>
        </w:tc>
        <w:tc>
          <w:tcPr>
            <w:tcW w:w="387"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4</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p>
        </w:tc>
        <w:tc>
          <w:tcPr>
            <w:tcW w:w="35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p>
        </w:tc>
        <w:tc>
          <w:tcPr>
            <w:tcW w:w="549" w:type="dxa"/>
            <w:vMerge w:val="continue"/>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gridAfter w:val="1"/>
          <w:wAfter w:w="40" w:type="dxa"/>
          <w:trHeight w:val="323" w:hRule="atLeast"/>
        </w:trPr>
        <w:tc>
          <w:tcPr>
            <w:tcW w:w="1538"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自制教具</w:t>
            </w:r>
            <w:r>
              <w:rPr>
                <w:rFonts w:hint="eastAsia" w:ascii="仿宋_GB2312" w:hAnsi="宋体" w:eastAsia="仿宋_GB2312"/>
                <w:sz w:val="32"/>
                <w:szCs w:val="32"/>
              </w:rPr>
              <w:t>或课件</w:t>
            </w:r>
          </w:p>
        </w:tc>
        <w:tc>
          <w:tcPr>
            <w:tcW w:w="432"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0.5</w:t>
            </w:r>
          </w:p>
        </w:tc>
        <w:tc>
          <w:tcPr>
            <w:tcW w:w="387"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0.3</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1.5</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1.5</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4</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5</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4</w:t>
            </w:r>
          </w:p>
        </w:tc>
        <w:tc>
          <w:tcPr>
            <w:tcW w:w="35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549" w:type="dxa"/>
            <w:vMerge w:val="continue"/>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gridAfter w:val="1"/>
          <w:wAfter w:w="40" w:type="dxa"/>
          <w:trHeight w:val="312" w:hRule="atLeast"/>
        </w:trPr>
        <w:tc>
          <w:tcPr>
            <w:tcW w:w="1538" w:type="dxa"/>
            <w:tcBorders>
              <w:top w:val="single" w:color="000000" w:sz="12" w:space="0"/>
              <w:left w:val="single" w:color="000000" w:sz="12" w:space="0"/>
              <w:bottom w:val="single" w:color="auto" w:sz="18"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才艺奖</w:t>
            </w:r>
          </w:p>
        </w:tc>
        <w:tc>
          <w:tcPr>
            <w:tcW w:w="432" w:type="dxa"/>
            <w:tcBorders>
              <w:top w:val="single" w:color="000000" w:sz="12" w:space="0"/>
              <w:left w:val="single" w:color="000000" w:sz="12" w:space="0"/>
              <w:bottom w:val="single" w:color="auto" w:sz="18"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0.5</w:t>
            </w:r>
          </w:p>
        </w:tc>
        <w:tc>
          <w:tcPr>
            <w:tcW w:w="387" w:type="dxa"/>
            <w:tcBorders>
              <w:top w:val="single" w:color="000000" w:sz="12" w:space="0"/>
              <w:left w:val="single" w:color="000000" w:sz="12" w:space="0"/>
              <w:bottom w:val="single" w:color="auto" w:sz="18"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0.3</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1.5</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0.5</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1.5</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4</w:t>
            </w:r>
          </w:p>
        </w:tc>
        <w:tc>
          <w:tcPr>
            <w:tcW w:w="539" w:type="dxa"/>
            <w:tcBorders>
              <w:top w:val="single" w:color="000000" w:sz="12" w:space="0"/>
              <w:left w:val="single" w:color="000000" w:sz="12" w:space="0"/>
              <w:bottom w:val="nil"/>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35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49" w:type="dxa"/>
            <w:vMerge w:val="continue"/>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gridAfter w:val="1"/>
          <w:wAfter w:w="40" w:type="dxa"/>
          <w:trHeight w:val="327" w:hRule="atLeast"/>
        </w:trPr>
        <w:tc>
          <w:tcPr>
            <w:tcW w:w="1538"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辅导奖</w:t>
            </w:r>
          </w:p>
        </w:tc>
        <w:tc>
          <w:tcPr>
            <w:tcW w:w="819" w:type="dxa"/>
            <w:gridSpan w:val="2"/>
            <w:tcBorders>
              <w:top w:val="single" w:color="auto" w:sz="4"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0.5</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1.5</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0.5</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39" w:type="dxa"/>
            <w:tcBorders>
              <w:top w:val="single" w:color="000000" w:sz="12" w:space="0"/>
              <w:left w:val="single" w:color="000000" w:sz="12" w:space="0"/>
              <w:bottom w:val="nil"/>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1.5</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40"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4</w:t>
            </w:r>
          </w:p>
        </w:tc>
        <w:tc>
          <w:tcPr>
            <w:tcW w:w="53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359"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549" w:type="dxa"/>
            <w:vMerge w:val="continue"/>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trHeight w:val="312" w:hRule="atLeast"/>
        </w:trPr>
        <w:tc>
          <w:tcPr>
            <w:tcW w:w="1538"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荣誉称号</w:t>
            </w:r>
          </w:p>
        </w:tc>
        <w:tc>
          <w:tcPr>
            <w:tcW w:w="819" w:type="dxa"/>
            <w:gridSpan w:val="2"/>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0.5</w:t>
            </w:r>
          </w:p>
        </w:tc>
        <w:tc>
          <w:tcPr>
            <w:tcW w:w="1620" w:type="dxa"/>
            <w:gridSpan w:val="3"/>
            <w:tcBorders>
              <w:top w:val="single" w:color="000000" w:sz="12" w:space="0"/>
              <w:left w:val="single" w:color="000000" w:sz="12" w:space="0"/>
              <w:bottom w:val="nil"/>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w:t>
            </w:r>
          </w:p>
        </w:tc>
        <w:tc>
          <w:tcPr>
            <w:tcW w:w="1618" w:type="dxa"/>
            <w:gridSpan w:val="3"/>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1618" w:type="dxa"/>
            <w:gridSpan w:val="3"/>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4</w:t>
            </w:r>
          </w:p>
        </w:tc>
        <w:tc>
          <w:tcPr>
            <w:tcW w:w="1986" w:type="dxa"/>
            <w:gridSpan w:val="4"/>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5</w:t>
            </w:r>
          </w:p>
        </w:tc>
        <w:tc>
          <w:tcPr>
            <w:tcW w:w="40" w:type="dxa"/>
            <w:vMerge w:val="restart"/>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trHeight w:val="312" w:hRule="atLeast"/>
        </w:trPr>
        <w:tc>
          <w:tcPr>
            <w:tcW w:w="1538"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教材编写</w:t>
            </w:r>
          </w:p>
        </w:tc>
        <w:tc>
          <w:tcPr>
            <w:tcW w:w="819" w:type="dxa"/>
            <w:gridSpan w:val="2"/>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2</w:t>
            </w:r>
          </w:p>
        </w:tc>
        <w:tc>
          <w:tcPr>
            <w:tcW w:w="1620" w:type="dxa"/>
            <w:gridSpan w:val="3"/>
            <w:tcBorders>
              <w:top w:val="single" w:color="000000" w:sz="12" w:space="0"/>
              <w:left w:val="single" w:color="000000" w:sz="12" w:space="0"/>
              <w:bottom w:val="nil"/>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3</w:t>
            </w:r>
          </w:p>
        </w:tc>
        <w:tc>
          <w:tcPr>
            <w:tcW w:w="1618" w:type="dxa"/>
            <w:gridSpan w:val="3"/>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5</w:t>
            </w:r>
          </w:p>
        </w:tc>
        <w:tc>
          <w:tcPr>
            <w:tcW w:w="1618" w:type="dxa"/>
            <w:gridSpan w:val="3"/>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8</w:t>
            </w:r>
          </w:p>
        </w:tc>
        <w:tc>
          <w:tcPr>
            <w:tcW w:w="1986" w:type="dxa"/>
            <w:gridSpan w:val="4"/>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eastAsia="仿宋_GB2312"/>
                <w:sz w:val="32"/>
                <w:szCs w:val="32"/>
              </w:rPr>
            </w:pPr>
            <w:r>
              <w:rPr>
                <w:rFonts w:hint="eastAsia" w:ascii="仿宋_GB2312" w:eastAsia="仿宋_GB2312"/>
                <w:sz w:val="32"/>
                <w:szCs w:val="32"/>
              </w:rPr>
              <w:t>10</w:t>
            </w:r>
          </w:p>
        </w:tc>
        <w:tc>
          <w:tcPr>
            <w:tcW w:w="40" w:type="dxa"/>
            <w:vMerge w:val="continue"/>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trHeight w:val="416" w:hRule="atLeast"/>
        </w:trPr>
        <w:tc>
          <w:tcPr>
            <w:tcW w:w="1538" w:type="dxa"/>
            <w:vMerge w:val="restart"/>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eastAsia="仿宋_GB2312"/>
                <w:sz w:val="32"/>
                <w:szCs w:val="32"/>
              </w:rPr>
              <w:t>实验课题</w:t>
            </w:r>
          </w:p>
        </w:tc>
        <w:tc>
          <w:tcPr>
            <w:tcW w:w="819" w:type="dxa"/>
            <w:gridSpan w:val="2"/>
            <w:tcBorders>
              <w:top w:val="single" w:color="000000" w:sz="12" w:space="0"/>
              <w:left w:val="single" w:color="000000" w:sz="12" w:space="0"/>
              <w:bottom w:val="single" w:color="000000" w:sz="4" w:space="0"/>
              <w:right w:val="single" w:color="auto" w:sz="12"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eastAsia="仿宋_GB2312"/>
                <w:sz w:val="32"/>
                <w:szCs w:val="32"/>
              </w:rPr>
              <w:t>立项0.5</w:t>
            </w:r>
          </w:p>
        </w:tc>
        <w:tc>
          <w:tcPr>
            <w:tcW w:w="1620" w:type="dxa"/>
            <w:gridSpan w:val="3"/>
            <w:tcBorders>
              <w:top w:val="single" w:color="000000" w:sz="12" w:space="0"/>
              <w:left w:val="single" w:color="auto"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eastAsia="仿宋_GB2312"/>
                <w:sz w:val="32"/>
                <w:szCs w:val="32"/>
              </w:rPr>
              <w:t>立项1</w:t>
            </w:r>
          </w:p>
        </w:tc>
        <w:tc>
          <w:tcPr>
            <w:tcW w:w="1618" w:type="dxa"/>
            <w:gridSpan w:val="3"/>
            <w:tcBorders>
              <w:top w:val="single" w:color="000000" w:sz="12" w:space="0"/>
              <w:left w:val="single" w:color="auto"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eastAsia="仿宋_GB2312"/>
                <w:sz w:val="32"/>
                <w:szCs w:val="32"/>
              </w:rPr>
              <w:t>立项2</w:t>
            </w:r>
          </w:p>
        </w:tc>
        <w:tc>
          <w:tcPr>
            <w:tcW w:w="1618" w:type="dxa"/>
            <w:gridSpan w:val="3"/>
            <w:tcBorders>
              <w:top w:val="single" w:color="000000" w:sz="12" w:space="0"/>
              <w:left w:val="single" w:color="auto"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eastAsia="仿宋_GB2312"/>
                <w:sz w:val="32"/>
                <w:szCs w:val="32"/>
              </w:rPr>
              <w:t>立项3</w:t>
            </w:r>
          </w:p>
        </w:tc>
        <w:tc>
          <w:tcPr>
            <w:tcW w:w="1986" w:type="dxa"/>
            <w:gridSpan w:val="4"/>
            <w:tcBorders>
              <w:top w:val="single" w:color="000000" w:sz="12" w:space="0"/>
              <w:left w:val="single" w:color="auto"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eastAsia="仿宋_GB2312"/>
                <w:sz w:val="32"/>
                <w:szCs w:val="32"/>
              </w:rPr>
              <w:t>立项4</w:t>
            </w:r>
          </w:p>
        </w:tc>
        <w:tc>
          <w:tcPr>
            <w:tcW w:w="40" w:type="dxa"/>
            <w:vMerge w:val="continue"/>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trHeight w:val="416" w:hRule="atLeast"/>
        </w:trPr>
        <w:tc>
          <w:tcPr>
            <w:tcW w:w="1538" w:type="dxa"/>
            <w:vMerge w:val="continue"/>
            <w:tcBorders>
              <w:top w:val="single" w:color="000000" w:sz="12" w:space="0"/>
              <w:left w:val="single" w:color="000000" w:sz="12" w:space="0"/>
              <w:bottom w:val="single" w:color="000000" w:sz="4" w:space="0"/>
              <w:right w:val="single" w:color="000000" w:sz="4" w:space="0"/>
            </w:tcBorders>
            <w:vAlign w:val="center"/>
          </w:tcPr>
          <w:p>
            <w:pPr>
              <w:widowControl/>
              <w:jc w:val="left"/>
              <w:rPr>
                <w:rFonts w:hint="eastAsia" w:ascii="仿宋_GB2312" w:hAnsi="宋体" w:eastAsia="仿宋_GB2312"/>
                <w:sz w:val="32"/>
                <w:szCs w:val="32"/>
              </w:rPr>
            </w:pPr>
          </w:p>
        </w:tc>
        <w:tc>
          <w:tcPr>
            <w:tcW w:w="819" w:type="dxa"/>
            <w:gridSpan w:val="2"/>
            <w:tcBorders>
              <w:top w:val="single" w:color="000000" w:sz="12" w:space="0"/>
              <w:left w:val="single" w:color="000000" w:sz="12" w:space="0"/>
              <w:bottom w:val="single" w:color="000000" w:sz="4" w:space="0"/>
              <w:right w:val="single" w:color="auto" w:sz="12"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eastAsia="仿宋_GB2312"/>
                <w:sz w:val="32"/>
                <w:szCs w:val="32"/>
              </w:rPr>
              <w:t>立项结项2</w:t>
            </w:r>
          </w:p>
        </w:tc>
        <w:tc>
          <w:tcPr>
            <w:tcW w:w="1620" w:type="dxa"/>
            <w:gridSpan w:val="3"/>
            <w:tcBorders>
              <w:top w:val="single" w:color="000000" w:sz="12" w:space="0"/>
              <w:left w:val="single" w:color="auto"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eastAsia="仿宋_GB2312"/>
                <w:sz w:val="32"/>
                <w:szCs w:val="32"/>
              </w:rPr>
              <w:t>立项结项3</w:t>
            </w:r>
          </w:p>
        </w:tc>
        <w:tc>
          <w:tcPr>
            <w:tcW w:w="1618" w:type="dxa"/>
            <w:gridSpan w:val="3"/>
            <w:tcBorders>
              <w:top w:val="single" w:color="000000" w:sz="12" w:space="0"/>
              <w:left w:val="single" w:color="auto"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eastAsia="仿宋_GB2312"/>
                <w:sz w:val="32"/>
                <w:szCs w:val="32"/>
              </w:rPr>
              <w:t>立项结项5</w:t>
            </w:r>
          </w:p>
        </w:tc>
        <w:tc>
          <w:tcPr>
            <w:tcW w:w="1618" w:type="dxa"/>
            <w:gridSpan w:val="3"/>
            <w:tcBorders>
              <w:top w:val="single" w:color="000000" w:sz="12" w:space="0"/>
              <w:left w:val="single" w:color="auto"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eastAsia="仿宋_GB2312"/>
                <w:sz w:val="32"/>
                <w:szCs w:val="32"/>
              </w:rPr>
              <w:t>立项结项8</w:t>
            </w:r>
          </w:p>
        </w:tc>
        <w:tc>
          <w:tcPr>
            <w:tcW w:w="1986" w:type="dxa"/>
            <w:gridSpan w:val="4"/>
            <w:tcBorders>
              <w:top w:val="single" w:color="000000" w:sz="12" w:space="0"/>
              <w:left w:val="single" w:color="auto"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eastAsia="仿宋_GB2312"/>
                <w:sz w:val="32"/>
                <w:szCs w:val="32"/>
              </w:rPr>
              <w:t>立项结项10</w:t>
            </w:r>
          </w:p>
        </w:tc>
        <w:tc>
          <w:tcPr>
            <w:tcW w:w="40" w:type="dxa"/>
            <w:vMerge w:val="continue"/>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trHeight w:val="416" w:hRule="atLeast"/>
        </w:trPr>
        <w:tc>
          <w:tcPr>
            <w:tcW w:w="1538" w:type="dxa"/>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hAnsi="宋体" w:eastAsia="仿宋_GB2312"/>
                <w:sz w:val="32"/>
                <w:szCs w:val="32"/>
              </w:rPr>
              <w:t>CN期刊、论著</w:t>
            </w:r>
          </w:p>
        </w:tc>
        <w:tc>
          <w:tcPr>
            <w:tcW w:w="7661" w:type="dxa"/>
            <w:gridSpan w:val="15"/>
            <w:tcBorders>
              <w:top w:val="single" w:color="000000" w:sz="12" w:space="0"/>
              <w:left w:val="single" w:color="000000" w:sz="12" w:space="0"/>
              <w:bottom w:val="single" w:color="000000" w:sz="4" w:space="0"/>
              <w:right w:val="single" w:color="000000" w:sz="4" w:space="0"/>
            </w:tcBorders>
            <w:vAlign w:val="center"/>
          </w:tcPr>
          <w:p>
            <w:pPr>
              <w:widowControl/>
              <w:spacing w:line="336" w:lineRule="atLeast"/>
              <w:jc w:val="center"/>
              <w:rPr>
                <w:rFonts w:hint="eastAsia" w:ascii="仿宋_GB2312" w:hAnsi="宋体" w:eastAsia="仿宋_GB2312"/>
                <w:sz w:val="32"/>
                <w:szCs w:val="32"/>
              </w:rPr>
            </w:pPr>
            <w:r>
              <w:rPr>
                <w:rFonts w:hint="eastAsia" w:ascii="仿宋_GB2312" w:hAnsi="宋体" w:eastAsia="仿宋_GB2312"/>
                <w:sz w:val="32"/>
                <w:szCs w:val="32"/>
              </w:rPr>
              <w:t>论著</w:t>
            </w:r>
            <w:r>
              <w:rPr>
                <w:rFonts w:hint="eastAsia" w:ascii="仿宋_GB2312" w:eastAsia="仿宋_GB2312"/>
                <w:sz w:val="32"/>
                <w:szCs w:val="32"/>
              </w:rPr>
              <w:t>20</w:t>
            </w:r>
            <w:r>
              <w:rPr>
                <w:rFonts w:hint="eastAsia" w:ascii="仿宋_GB2312" w:hAnsi="宋体" w:eastAsia="仿宋_GB2312"/>
                <w:sz w:val="32"/>
                <w:szCs w:val="32"/>
              </w:rPr>
              <w:t>分/部，CN学术期刊发表5分/篇</w:t>
            </w:r>
          </w:p>
        </w:tc>
        <w:tc>
          <w:tcPr>
            <w:tcW w:w="40" w:type="dxa"/>
            <w:vMerge w:val="continue"/>
            <w:tcBorders>
              <w:top w:val="single" w:color="000000" w:sz="12" w:space="0"/>
              <w:left w:val="single" w:color="000000" w:sz="12" w:space="0"/>
              <w:bottom w:val="nil"/>
              <w:right w:val="single" w:color="000000" w:sz="12" w:space="0"/>
            </w:tcBorders>
            <w:vAlign w:val="center"/>
          </w:tcPr>
          <w:p>
            <w:pPr>
              <w:widowControl/>
              <w:jc w:val="left"/>
              <w:rPr>
                <w:rFonts w:hint="eastAsia" w:ascii="仿宋_GB2312" w:eastAsia="仿宋_GB2312"/>
                <w:sz w:val="32"/>
                <w:szCs w:val="32"/>
              </w:rPr>
            </w:pPr>
          </w:p>
        </w:tc>
      </w:tr>
      <w:tr>
        <w:tblPrEx>
          <w:tblCellMar>
            <w:top w:w="0" w:type="dxa"/>
            <w:left w:w="0" w:type="dxa"/>
            <w:bottom w:w="0" w:type="dxa"/>
            <w:right w:w="0" w:type="dxa"/>
          </w:tblCellMar>
        </w:tblPrEx>
        <w:trPr>
          <w:trHeight w:val="1667" w:hRule="atLeast"/>
        </w:trPr>
        <w:tc>
          <w:tcPr>
            <w:tcW w:w="9239" w:type="dxa"/>
            <w:gridSpan w:val="17"/>
            <w:tcBorders>
              <w:top w:val="single" w:color="000000" w:sz="12" w:space="0"/>
              <w:left w:val="single" w:color="000000" w:sz="12" w:space="0"/>
              <w:bottom w:val="single" w:color="000000" w:sz="12" w:space="0"/>
              <w:right w:val="single" w:color="000000" w:sz="12" w:space="0"/>
            </w:tcBorders>
            <w:vAlign w:val="center"/>
          </w:tcPr>
          <w:p>
            <w:pPr>
              <w:widowControl/>
              <w:spacing w:line="318" w:lineRule="atLeast"/>
              <w:jc w:val="left"/>
              <w:rPr>
                <w:rFonts w:hint="eastAsia" w:ascii="仿宋_GB2312" w:eastAsia="仿宋_GB2312"/>
                <w:sz w:val="32"/>
                <w:szCs w:val="32"/>
              </w:rPr>
            </w:pPr>
            <w:r>
              <w:rPr>
                <w:rFonts w:hint="eastAsia" w:ascii="仿宋_GB2312" w:eastAsia="仿宋_GB2312"/>
                <w:sz w:val="32"/>
                <w:szCs w:val="32"/>
              </w:rPr>
              <w:t>说明：1</w:t>
            </w:r>
            <w:r>
              <w:rPr>
                <w:rFonts w:hint="eastAsia" w:ascii="仿宋_GB2312" w:hAnsi="宋体" w:eastAsia="仿宋_GB2312"/>
                <w:sz w:val="32"/>
                <w:szCs w:val="32"/>
              </w:rPr>
              <w:t>、所有业绩的计算以任现职以来的证书原件为依据。</w:t>
            </w:r>
            <w:r>
              <w:rPr>
                <w:rFonts w:hint="eastAsia" w:ascii="仿宋_GB2312" w:eastAsia="仿宋_GB2312"/>
                <w:sz w:val="32"/>
                <w:szCs w:val="32"/>
              </w:rPr>
              <w:t>2</w:t>
            </w:r>
            <w:r>
              <w:rPr>
                <w:rFonts w:hint="eastAsia" w:ascii="仿宋_GB2312" w:hAnsi="宋体" w:eastAsia="仿宋_GB2312"/>
                <w:sz w:val="32"/>
                <w:szCs w:val="32"/>
              </w:rPr>
              <w:t>、优质课、说课、示范课、观摩课以及辅导学生获奖必须是通过学校组织的活动，每项活动每位辅导教师最多</w:t>
            </w:r>
            <w:r>
              <w:rPr>
                <w:rFonts w:hint="eastAsia" w:ascii="仿宋_GB2312" w:eastAsia="仿宋_GB2312"/>
                <w:sz w:val="32"/>
                <w:szCs w:val="32"/>
              </w:rPr>
              <w:t>只取</w:t>
            </w:r>
            <w:r>
              <w:rPr>
                <w:rFonts w:hint="eastAsia" w:ascii="仿宋_GB2312" w:hAnsi="宋体" w:eastAsia="仿宋_GB2312"/>
                <w:sz w:val="32"/>
                <w:szCs w:val="32"/>
              </w:rPr>
              <w:t>前三</w:t>
            </w:r>
            <w:r>
              <w:rPr>
                <w:rFonts w:hint="eastAsia" w:ascii="仿宋_GB2312" w:eastAsia="仿宋_GB2312"/>
                <w:sz w:val="32"/>
                <w:szCs w:val="32"/>
              </w:rPr>
              <w:t>名获奖学生计算</w:t>
            </w:r>
            <w:r>
              <w:rPr>
                <w:rFonts w:hint="eastAsia" w:ascii="仿宋_GB2312" w:hAnsi="宋体" w:eastAsia="仿宋_GB2312"/>
                <w:sz w:val="32"/>
                <w:szCs w:val="32"/>
              </w:rPr>
              <w:t>，第二名60%，第三名40%。</w:t>
            </w:r>
            <w:r>
              <w:rPr>
                <w:rFonts w:hint="eastAsia" w:ascii="仿宋_GB2312" w:eastAsia="仿宋_GB2312"/>
                <w:sz w:val="32"/>
                <w:szCs w:val="32"/>
              </w:rPr>
              <w:t>3</w:t>
            </w:r>
            <w:r>
              <w:rPr>
                <w:rFonts w:hint="eastAsia" w:ascii="仿宋_GB2312" w:hAnsi="宋体" w:eastAsia="仿宋_GB2312"/>
                <w:sz w:val="32"/>
                <w:szCs w:val="32"/>
              </w:rPr>
              <w:t>、论文必须是教育部门组织的，各种论文集、增刊不算业绩；发表文章为教育教学类；编写教材等同于课题研究；论著需和本专业相关。</w:t>
            </w:r>
            <w:r>
              <w:rPr>
                <w:rFonts w:hint="eastAsia" w:ascii="仿宋_GB2312" w:eastAsia="仿宋_GB2312"/>
                <w:sz w:val="32"/>
                <w:szCs w:val="32"/>
              </w:rPr>
              <w:t>4</w:t>
            </w:r>
            <w:r>
              <w:rPr>
                <w:rFonts w:hint="eastAsia" w:ascii="仿宋_GB2312" w:hAnsi="宋体" w:eastAsia="仿宋_GB2312"/>
                <w:sz w:val="32"/>
                <w:szCs w:val="32"/>
              </w:rPr>
              <w:t>、示范课、观摩课无等级的按一</w:t>
            </w:r>
            <w:r>
              <w:rPr>
                <w:rFonts w:hint="eastAsia" w:ascii="仿宋_GB2312" w:eastAsia="仿宋_GB2312"/>
                <w:sz w:val="32"/>
                <w:szCs w:val="32"/>
              </w:rPr>
              <w:t>等奖计分。5</w:t>
            </w:r>
            <w:r>
              <w:rPr>
                <w:rFonts w:hint="eastAsia" w:ascii="仿宋_GB2312" w:hAnsi="宋体" w:eastAsia="仿宋_GB2312"/>
                <w:sz w:val="32"/>
                <w:szCs w:val="32"/>
              </w:rPr>
              <w:t>、实验课题主持人</w:t>
            </w:r>
            <w:r>
              <w:rPr>
                <w:rFonts w:hint="eastAsia" w:ascii="仿宋_GB2312" w:eastAsia="仿宋_GB2312"/>
                <w:sz w:val="32"/>
                <w:szCs w:val="32"/>
              </w:rPr>
              <w:t>全</w:t>
            </w:r>
            <w:r>
              <w:rPr>
                <w:rFonts w:hint="eastAsia" w:ascii="仿宋_GB2312" w:hAnsi="宋体" w:eastAsia="仿宋_GB2312"/>
                <w:sz w:val="32"/>
                <w:szCs w:val="32"/>
              </w:rPr>
              <w:t>分，其余每人按80%。</w:t>
            </w:r>
            <w:r>
              <w:rPr>
                <w:rFonts w:hint="eastAsia" w:ascii="仿宋_GB2312" w:eastAsia="仿宋_GB2312"/>
                <w:sz w:val="32"/>
                <w:szCs w:val="32"/>
              </w:rPr>
              <w:t>6</w:t>
            </w:r>
            <w:r>
              <w:rPr>
                <w:rFonts w:hint="eastAsia" w:ascii="仿宋_GB2312" w:hAnsi="宋体" w:eastAsia="仿宋_GB2312"/>
                <w:sz w:val="32"/>
                <w:szCs w:val="32"/>
              </w:rPr>
              <w:t>、对同一内容获奖</w:t>
            </w:r>
            <w:r>
              <w:rPr>
                <w:rFonts w:hint="eastAsia" w:ascii="仿宋_GB2312" w:eastAsia="仿宋_GB2312"/>
                <w:sz w:val="32"/>
                <w:szCs w:val="32"/>
              </w:rPr>
              <w:t>，按就高不就低的原则一次性计分。7</w:t>
            </w:r>
            <w:r>
              <w:rPr>
                <w:rFonts w:hint="eastAsia" w:ascii="仿宋_GB2312" w:hAnsi="宋体" w:eastAsia="仿宋_GB2312"/>
                <w:sz w:val="32"/>
                <w:szCs w:val="32"/>
              </w:rPr>
              <w:t>、如有人累计积分超过满分</w:t>
            </w:r>
            <w:r>
              <w:rPr>
                <w:rFonts w:hint="eastAsia" w:ascii="仿宋_GB2312" w:eastAsia="仿宋_GB2312"/>
                <w:sz w:val="32"/>
                <w:szCs w:val="32"/>
              </w:rPr>
              <w:t>30</w:t>
            </w:r>
            <w:r>
              <w:rPr>
                <w:rFonts w:hint="eastAsia" w:ascii="仿宋_GB2312" w:hAnsi="宋体" w:eastAsia="仿宋_GB2312"/>
                <w:sz w:val="32"/>
                <w:szCs w:val="32"/>
              </w:rPr>
              <w:t>分，则得分最多的人折合成</w:t>
            </w:r>
            <w:r>
              <w:rPr>
                <w:rFonts w:hint="eastAsia" w:ascii="仿宋_GB2312" w:eastAsia="仿宋_GB2312"/>
                <w:sz w:val="32"/>
                <w:szCs w:val="32"/>
              </w:rPr>
              <w:t>30</w:t>
            </w:r>
            <w:r>
              <w:rPr>
                <w:rFonts w:hint="eastAsia" w:ascii="仿宋_GB2312" w:hAnsi="宋体" w:eastAsia="仿宋_GB2312"/>
                <w:sz w:val="32"/>
                <w:szCs w:val="32"/>
              </w:rPr>
              <w:t>分，其他人按比例折合。</w:t>
            </w:r>
          </w:p>
        </w:tc>
      </w:tr>
    </w:tbl>
    <w:p>
      <w:pPr>
        <w:spacing w:line="360" w:lineRule="exact"/>
        <w:ind w:firstLine="643" w:firstLineChars="200"/>
        <w:rPr>
          <w:rFonts w:hint="eastAsia" w:ascii="仿宋_GB2312" w:hAnsi="宋体" w:eastAsia="仿宋_GB2312"/>
          <w:b/>
          <w:kern w:val="28"/>
          <w:sz w:val="32"/>
          <w:szCs w:val="32"/>
        </w:rPr>
      </w:pPr>
      <w:r>
        <w:rPr>
          <w:rFonts w:hint="eastAsia" w:ascii="仿宋_GB2312" w:hAnsi="宋体" w:eastAsia="仿宋_GB2312"/>
          <w:b/>
          <w:kern w:val="28"/>
          <w:sz w:val="32"/>
          <w:szCs w:val="32"/>
        </w:rPr>
        <w:t>8．民主测评计分：（</w:t>
      </w:r>
      <w:r>
        <w:rPr>
          <w:rFonts w:hint="eastAsia" w:ascii="仿宋_GB2312" w:hAnsi="宋体" w:eastAsia="仿宋_GB2312"/>
          <w:kern w:val="28"/>
          <w:sz w:val="32"/>
          <w:szCs w:val="32"/>
        </w:rPr>
        <w:t>满分为20分）</w:t>
      </w:r>
    </w:p>
    <w:p>
      <w:pPr>
        <w:spacing w:line="3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参评教师按照德、能、勤、绩进行述职，由全体教师和学校职称评审小组成员分别评分，各占10分。</w:t>
      </w:r>
    </w:p>
    <w:p>
      <w:pPr>
        <w:widowControl/>
        <w:spacing w:line="360" w:lineRule="exact"/>
        <w:ind w:firstLine="643" w:firstLineChars="200"/>
        <w:jc w:val="left"/>
        <w:rPr>
          <w:rFonts w:hint="eastAsia" w:ascii="仿宋_GB2312" w:hAnsi="宋体" w:eastAsia="仿宋_GB2312"/>
          <w:b/>
          <w:kern w:val="28"/>
          <w:sz w:val="32"/>
          <w:szCs w:val="32"/>
        </w:rPr>
      </w:pPr>
      <w:r>
        <w:rPr>
          <w:rFonts w:hint="eastAsia" w:ascii="仿宋_GB2312" w:hAnsi="宋体" w:eastAsia="仿宋_GB2312"/>
          <w:b/>
          <w:kern w:val="28"/>
          <w:sz w:val="32"/>
          <w:szCs w:val="32"/>
        </w:rPr>
        <w:t>四、操作程序和注意事项</w:t>
      </w:r>
    </w:p>
    <w:p>
      <w:pPr>
        <w:spacing w:line="3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1．个人申报、备齐书面资料、按时上交。由学校职称评审小组组织评审，按本办法计算应得分数，依据得分排序，确定上报参评教师人选。</w:t>
      </w:r>
    </w:p>
    <w:p>
      <w:pPr>
        <w:spacing w:line="3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2．总分相同，由学校职称评审小组确定上报参评教师。</w:t>
      </w:r>
    </w:p>
    <w:p>
      <w:pPr>
        <w:spacing w:line="3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3．结果公示。有关教师按相应规定上报资料。</w:t>
      </w:r>
    </w:p>
    <w:p>
      <w:pPr>
        <w:spacing w:line="3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4．教学成绩无法计算的学科，按照一定比例分配推荐名额。</w:t>
      </w:r>
    </w:p>
    <w:p>
      <w:pPr>
        <w:spacing w:line="3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5．本办法解释权归学校职评领导小组。</w:t>
      </w:r>
    </w:p>
    <w:p>
      <w:pPr>
        <w:spacing w:line="360" w:lineRule="exact"/>
        <w:ind w:firstLine="640" w:firstLineChars="200"/>
        <w:rPr>
          <w:rFonts w:hint="eastAsia" w:ascii="仿宋_GB2312" w:eastAsia="仿宋_GB2312"/>
          <w:sz w:val="32"/>
          <w:szCs w:val="32"/>
        </w:rPr>
      </w:pPr>
      <w:r>
        <w:rPr>
          <w:rFonts w:hint="eastAsia" w:ascii="仿宋_GB2312" w:eastAsia="仿宋_GB2312"/>
          <w:sz w:val="32"/>
          <w:szCs w:val="32"/>
        </w:rPr>
        <w:t>6．</w:t>
      </w:r>
      <w:r>
        <w:rPr>
          <w:rFonts w:hint="eastAsia" w:ascii="仿宋_GB2312" w:hAnsi="宋体" w:eastAsia="仿宋_GB2312"/>
          <w:sz w:val="32"/>
          <w:szCs w:val="32"/>
        </w:rPr>
        <w:t>本实施细则须经教职工代表大会通过后方可实施。</w:t>
      </w:r>
    </w:p>
    <w:p>
      <w:pPr>
        <w:rPr>
          <w:rFonts w:hint="eastAsia" w:ascii="仿宋_GB2312"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D1E14"/>
    <w:multiLevelType w:val="multilevel"/>
    <w:tmpl w:val="3F0D1E14"/>
    <w:lvl w:ilvl="0" w:tentative="0">
      <w:start w:val="1"/>
      <w:numFmt w:val="japaneseCounting"/>
      <w:lvlText w:val="%1、"/>
      <w:lvlJc w:val="left"/>
      <w:pPr>
        <w:tabs>
          <w:tab w:val="left" w:pos="1282"/>
        </w:tabs>
        <w:ind w:left="128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NjI3MDhhOTE1NTU3NGRmMDZhYmY2NTgyOTdkOTcifQ=="/>
  </w:docVars>
  <w:rsids>
    <w:rsidRoot w:val="008C0F95"/>
    <w:rsid w:val="00655F34"/>
    <w:rsid w:val="008C0F95"/>
    <w:rsid w:val="00C0539B"/>
    <w:rsid w:val="00DE0A9C"/>
    <w:rsid w:val="0B8C5308"/>
    <w:rsid w:val="0F210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57" w:lineRule="atLeast"/>
      <w:jc w:val="both"/>
    </w:pPr>
    <w:rPr>
      <w:rFonts w:ascii="Times New Roman" w:hAnsi="Times New Roman" w:eastAsia="宋体" w:cs="Times New Roman"/>
      <w:color w:val="000000"/>
      <w:kern w:val="0"/>
      <w:sz w:val="21"/>
      <w:szCs w:val="21"/>
      <w:lang w:val="zh-CN"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qFormat/>
    <w:uiPriority w:val="99"/>
    <w:rPr>
      <w:rFonts w:ascii="Times New Roman" w:hAnsi="Times New Roman" w:eastAsia="宋体" w:cs="Times New Roman"/>
      <w:color w:val="000000"/>
      <w:kern w:val="0"/>
      <w:sz w:val="18"/>
      <w:szCs w:val="18"/>
      <w:lang w:val="zh-CN"/>
    </w:rPr>
  </w:style>
  <w:style w:type="character" w:customStyle="1" w:styleId="7">
    <w:name w:val="页脚 Char"/>
    <w:basedOn w:val="5"/>
    <w:link w:val="2"/>
    <w:qFormat/>
    <w:uiPriority w:val="99"/>
    <w:rPr>
      <w:rFonts w:ascii="Times New Roman" w:hAnsi="Times New Roman" w:eastAsia="宋体" w:cs="Times New Roman"/>
      <w:color w:val="000000"/>
      <w:kern w:val="0"/>
      <w:sz w:val="18"/>
      <w:szCs w:val="1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1915</Words>
  <Characters>1995</Characters>
  <Lines>17</Lines>
  <Paragraphs>4</Paragraphs>
  <TotalTime>5</TotalTime>
  <ScaleCrop>false</ScaleCrop>
  <LinksUpToDate>false</LinksUpToDate>
  <CharactersWithSpaces>2000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2018-11-09T06:56:00Z</dcterms:created>
  <dc:creator>test</dc:creator>
  <cp:lastModifiedBy>Administrator</cp:lastModifiedBy>
  <dcterms:modified xsi:type="dcterms:W3CDTF">2022-09-30T08:05:24Z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661D8DFAA5BE4C1FBD52DBFAADC047AB</vt:lpwstr>
  </property>
</Properties>
</file>